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8E" w:rsidRPr="00315E0C" w:rsidRDefault="00882D8E" w:rsidP="00882D8E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315E0C">
        <w:rPr>
          <w:rFonts w:asciiTheme="minorHAnsi" w:hAnsiTheme="minorHAnsi" w:cstheme="minorHAnsi"/>
          <w:bCs w:val="0"/>
          <w:caps/>
          <w:sz w:val="24"/>
          <w:szCs w:val="24"/>
        </w:rPr>
        <w:t>Examination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15E0C">
        <w:rPr>
          <w:rFonts w:asciiTheme="minorHAnsi" w:hAnsiTheme="minorHAnsi" w:cstheme="minorHAnsi"/>
          <w:caps/>
          <w:sz w:val="24"/>
          <w:szCs w:val="24"/>
        </w:rPr>
        <w:t>Synopsis</w:t>
      </w:r>
    </w:p>
    <w:p w:rsidR="00882D8E" w:rsidRPr="00315E0C" w:rsidRDefault="00882D8E" w:rsidP="00882D8E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315E0C">
        <w:rPr>
          <w:rFonts w:asciiTheme="minorHAnsi" w:hAnsiTheme="minorHAnsi" w:cstheme="minorHAnsi"/>
          <w:caps/>
          <w:sz w:val="24"/>
          <w:szCs w:val="24"/>
        </w:rPr>
        <w:t>of Biochemistry</w:t>
      </w:r>
    </w:p>
    <w:p w:rsidR="00882D8E" w:rsidRPr="00315E0C" w:rsidRDefault="00882D8E" w:rsidP="00882D8E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315E0C">
        <w:rPr>
          <w:rFonts w:asciiTheme="minorHAnsi" w:hAnsiTheme="minorHAnsi" w:cstheme="minorHAnsi"/>
          <w:caps/>
          <w:sz w:val="24"/>
          <w:szCs w:val="24"/>
        </w:rPr>
        <w:t>for Dental medical students</w:t>
      </w:r>
    </w:p>
    <w:p w:rsidR="00882D8E" w:rsidRPr="00315E0C" w:rsidRDefault="00882D8E" w:rsidP="00882D8E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882D8E" w:rsidRPr="00315E0C" w:rsidRDefault="00882D8E" w:rsidP="00882D8E">
      <w:pPr>
        <w:jc w:val="center"/>
        <w:rPr>
          <w:rFonts w:asciiTheme="minorHAnsi" w:hAnsiTheme="minorHAnsi" w:cstheme="minorHAnsi"/>
          <w:sz w:val="24"/>
          <w:szCs w:val="24"/>
          <w:lang w:val="bg-BG"/>
        </w:rPr>
      </w:pPr>
      <w:r w:rsidRPr="00315E0C">
        <w:rPr>
          <w:rFonts w:asciiTheme="minorHAnsi" w:hAnsiTheme="minorHAnsi" w:cstheme="minorHAnsi"/>
          <w:sz w:val="24"/>
          <w:szCs w:val="24"/>
        </w:rPr>
        <w:t>Academic year 201</w:t>
      </w:r>
      <w:r w:rsidR="007A1A64">
        <w:rPr>
          <w:rFonts w:asciiTheme="minorHAnsi" w:hAnsiTheme="minorHAnsi" w:cstheme="minorHAnsi"/>
          <w:sz w:val="24"/>
          <w:szCs w:val="24"/>
        </w:rPr>
        <w:t>7</w:t>
      </w:r>
      <w:r w:rsidRPr="00315E0C">
        <w:rPr>
          <w:rFonts w:asciiTheme="minorHAnsi" w:hAnsiTheme="minorHAnsi" w:cstheme="minorHAnsi"/>
          <w:sz w:val="24"/>
          <w:szCs w:val="24"/>
        </w:rPr>
        <w:t>-201</w:t>
      </w:r>
      <w:r w:rsidR="007A1A64">
        <w:rPr>
          <w:rFonts w:asciiTheme="minorHAnsi" w:hAnsiTheme="minorHAnsi" w:cstheme="minorHAnsi"/>
          <w:sz w:val="24"/>
          <w:szCs w:val="24"/>
        </w:rPr>
        <w:t>8</w:t>
      </w:r>
    </w:p>
    <w:p w:rsidR="00882D8E" w:rsidRPr="00315E0C" w:rsidRDefault="00882D8E" w:rsidP="00882D8E">
      <w:pPr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882D8E" w:rsidRPr="00315E0C" w:rsidRDefault="00882D8E" w:rsidP="00882D8E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Globular proteins – myoglobin and hemoglobin. C</w:t>
      </w:r>
      <w:r w:rsidRPr="00315E0C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omparative characteristics of structure and functions. Dissociation curves of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myoglobin and hemoglobin</w:t>
      </w:r>
      <w:r w:rsidRPr="00315E0C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. R and T-states. Allosteric properties of hemoglobin. The Bohr </w:t>
      </w:r>
      <w:proofErr w:type="gramStart"/>
      <w:r w:rsidRPr="00315E0C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>effect</w:t>
      </w:r>
      <w:proofErr w:type="gramEnd"/>
      <w:r w:rsidRPr="00315E0C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>.</w:t>
      </w:r>
      <w:r w:rsidR="00315E0C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Minor </w:t>
      </w:r>
      <w:proofErr w:type="spellStart"/>
      <w:r w:rsidR="00315E0C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>hemoglobins</w:t>
      </w:r>
      <w:proofErr w:type="spellEnd"/>
      <w:r w:rsidR="00315E0C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, </w:t>
      </w:r>
      <w:proofErr w:type="spellStart"/>
      <w:r w:rsidR="00315E0C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>hemoglobinopathies</w:t>
      </w:r>
      <w:proofErr w:type="spellEnd"/>
      <w:r w:rsidR="00315E0C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. </w:t>
      </w:r>
    </w:p>
    <w:p w:rsidR="00882D8E" w:rsidRPr="00315E0C" w:rsidRDefault="007A1A64" w:rsidP="00882D8E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Fibrous</w:t>
      </w:r>
      <w:r w:rsidR="00882D8E"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proteins – collagen and elastin. Structure, biosynthesis, biologic role. </w:t>
      </w:r>
    </w:p>
    <w:p w:rsidR="00882D8E" w:rsidRPr="00315E0C" w:rsidRDefault="00882D8E" w:rsidP="00882D8E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color w:val="FF0000"/>
          <w:sz w:val="24"/>
          <w:szCs w:val="24"/>
          <w:lang w:val="ru-RU"/>
        </w:rPr>
      </w:pP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Glycoproteins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and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proteoglycans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Structure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,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biosynthesis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,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biologic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role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. </w:t>
      </w:r>
    </w:p>
    <w:p w:rsidR="00882D8E" w:rsidRPr="00315E0C" w:rsidRDefault="00882D8E" w:rsidP="00882D8E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Enzymes as biocatalysts. Nomenclature and classification of enzymes. Mechanism of enzyme action. Enzyme cofactors. Water-soluble vitamins as enzyme cofactors – cofactors for electron and proton transfer. Water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>-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soluble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vitamins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as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enzyme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cofactors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–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cofactors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for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group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transfer.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</w:p>
    <w:p w:rsidR="00882D8E" w:rsidRPr="00315E0C" w:rsidRDefault="00882D8E" w:rsidP="00882D8E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Enzyme kinetics - substrate concentration as a fact</w:t>
      </w:r>
      <w:r w:rsidR="007A1A6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or affecting enzyme velocity. </w:t>
      </w:r>
      <w:proofErr w:type="spellStart"/>
      <w:r w:rsidR="007A1A64">
        <w:rPr>
          <w:rFonts w:asciiTheme="minorHAnsi" w:hAnsiTheme="minorHAnsi" w:cstheme="minorHAnsi"/>
          <w:b w:val="0"/>
          <w:bCs w:val="0"/>
          <w:sz w:val="24"/>
          <w:szCs w:val="24"/>
        </w:rPr>
        <w:t>Mi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chaelis-Menten</w:t>
      </w:r>
      <w:proofErr w:type="spellEnd"/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plot. Km and Vmax. </w:t>
      </w:r>
      <w:proofErr w:type="spellStart"/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Linewever</w:t>
      </w:r>
      <w:proofErr w:type="spellEnd"/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-Burk plot. E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nzyme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concentration as a factor affecting enzyme velocity.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Enzyme activity.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Effect of pH and temperature on enzyme velocity. </w:t>
      </w:r>
    </w:p>
    <w:p w:rsidR="00882D8E" w:rsidRPr="00315E0C" w:rsidRDefault="00882D8E" w:rsidP="00882D8E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Enzyme inhibition.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Reversible and non-reversible enzyme inhibition. Kinetics of competitive and non-competitive enzyme inhibition. </w:t>
      </w:r>
    </w:p>
    <w:p w:rsidR="00882D8E" w:rsidRPr="00315E0C" w:rsidRDefault="00882D8E" w:rsidP="00882D8E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Allosteric enzymes – structure, kinetics. Regulation of enzyme activity: allosteric regulation, covalent modification, limited proteolysis, induction and repression of enzyme synthesis.</w:t>
      </w:r>
    </w:p>
    <w:p w:rsidR="00882D8E" w:rsidRPr="00315E0C" w:rsidRDefault="00882D8E" w:rsidP="00882D8E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Isoenzymes – characteristics, biological role. </w:t>
      </w:r>
    </w:p>
    <w:p w:rsidR="00882D8E" w:rsidRPr="00315E0C" w:rsidRDefault="00882D8E" w:rsidP="00882D8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color w:val="FF0000"/>
          <w:sz w:val="24"/>
          <w:szCs w:val="24"/>
          <w:lang w:val="ru-RU"/>
        </w:rPr>
      </w:pP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Exergonic and endergonic processes. Coupling of exergonic and endergonic processes. High and low energy redox-compounds with biological significance. The central role of ATP in cellular bioenergetics. </w:t>
      </w:r>
    </w:p>
    <w:p w:rsidR="00882D8E" w:rsidRPr="00315E0C" w:rsidRDefault="00882D8E" w:rsidP="00882D8E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Molecular organization of mitochondrial respiratory chain. Redox-systems of mitochondrial respiratory chain. Vector organization of redox-systems in the mitochondrial respiratory chain. </w:t>
      </w:r>
      <w:proofErr w:type="spellStart"/>
      <w:r w:rsidRPr="00315E0C">
        <w:rPr>
          <w:rFonts w:asciiTheme="minorHAnsi" w:hAnsiTheme="minorHAnsi" w:cstheme="minorHAnsi"/>
          <w:b w:val="0"/>
          <w:iCs/>
          <w:sz w:val="24"/>
          <w:szCs w:val="24"/>
        </w:rPr>
        <w:t>Chemiosmotic</w:t>
      </w:r>
      <w:proofErr w:type="spellEnd"/>
      <w:r w:rsidRPr="00315E0C">
        <w:rPr>
          <w:rFonts w:asciiTheme="minorHAnsi" w:hAnsiTheme="minorHAnsi" w:cstheme="minorHAnsi"/>
          <w:b w:val="0"/>
          <w:iCs/>
          <w:sz w:val="24"/>
          <w:szCs w:val="24"/>
        </w:rPr>
        <w:t xml:space="preserve"> hypothesis of oxidative phosphorylation, ATP-synthase.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Regulation of oxidative phosphorylation. 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Inhibitors of oxidative phosphorylation.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Uncoupling agents of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oxidative phosphorylation.</w:t>
      </w:r>
    </w:p>
    <w:p w:rsidR="00882D8E" w:rsidRPr="00315E0C" w:rsidRDefault="00882D8E" w:rsidP="00882D8E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Extramitochondrial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oxidation. Oxidation in peroxisomes. Short-chain electron transport systems – cytochrome 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>Р</w:t>
      </w:r>
      <w:r w:rsidRPr="00315E0C">
        <w:rPr>
          <w:rFonts w:asciiTheme="minorHAnsi" w:hAnsiTheme="minorHAnsi" w:cstheme="minorHAnsi"/>
          <w:b w:val="0"/>
          <w:sz w:val="24"/>
          <w:szCs w:val="24"/>
          <w:vertAlign w:val="subscript"/>
          <w:lang w:val="en-GB"/>
        </w:rPr>
        <w:t>450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and desaturase system.</w:t>
      </w:r>
    </w:p>
    <w:p w:rsidR="00882D8E" w:rsidRPr="00315E0C" w:rsidRDefault="00882D8E" w:rsidP="00882D8E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>Free radical oxidation – endogenous sources of free radicals. Biologic role of free radicals. Antioxidant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systems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Types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antioxidants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Biologic role of antioxidants. 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Carbohydrate metabolism - digestion and absorption of carbohydrates. Mechanism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of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anaerobic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glycolysis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. 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Phosphorylation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of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glucose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to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glucose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>-6-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phosphate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Type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hexokinases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Fate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of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pyruvate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in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anaerobic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conditions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Energy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yield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Substrate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phosphorylation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Regulation of glycolysis. Mechanism of aerobic glycolysis.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Electron shuttles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for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transfer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electrons from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NADH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in the cytosol to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the mitochondria. 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Glycerol phosphate shuttle. Malate-aspartate shuttle.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Oxidative decarboxylation of pyruvate. Pyruvate dehydrogenase complex. Regulation of oxidative decarboxylation of pyruvate. Tricarboxylic acid cycle – biologic role. Reactions of the tricarboxylic acid cycle. Regulation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of t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ricarboxylic acid cycle. </w:t>
      </w:r>
      <w:proofErr w:type="spellStart"/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Anaplerotic</w:t>
      </w:r>
      <w:proofErr w:type="spellEnd"/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(filling up)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reactions for the production of oxaloacetate.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Energy yield of glucose oxidation to CO</w:t>
      </w:r>
      <w:r w:rsidRPr="00315E0C">
        <w:rPr>
          <w:rFonts w:asciiTheme="minorHAnsi" w:hAnsiTheme="minorHAnsi" w:cstheme="minorHAnsi"/>
          <w:b w:val="0"/>
          <w:sz w:val="24"/>
          <w:szCs w:val="24"/>
          <w:vertAlign w:val="subscript"/>
        </w:rPr>
        <w:t>2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and water in aerobic conditions. Link between glycolysis and respiration. The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Pasteur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proofErr w:type="gramStart"/>
      <w:r w:rsidRPr="00315E0C">
        <w:rPr>
          <w:rFonts w:asciiTheme="minorHAnsi" w:hAnsiTheme="minorHAnsi" w:cstheme="minorHAnsi"/>
          <w:b w:val="0"/>
          <w:sz w:val="24"/>
          <w:szCs w:val="24"/>
        </w:rPr>
        <w:t>effect</w:t>
      </w:r>
      <w:proofErr w:type="gramEnd"/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>.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>Gluconeogenesis – mechanism, key enzymes, and biologic significance. Reciprocal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regulation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of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glycolysis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and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gluconeogenesis. 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>Glycogen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structure and biologic role. Glycogen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synthesis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–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mechanism, key enzymes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Glycogen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breakdown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–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mechanism, key enzymes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>. Regulation of glycogen synthesis and glycogen breakdown. Glycogen storage diseases.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>Pentose phosphate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pathway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Biologic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significance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Mechanism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of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the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oxidative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phase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of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pentose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phosphate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pathway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>Hormonal regulation of blood glucose. Hyper- and hypoglycemia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>Metabolism of fructose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Disturbances in fructose metabolism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Metabolism of galactose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Disturbances in galactose metabolism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>.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>Digestion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and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absorption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of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lipids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. Digestive enzymes. Role of bile acids.  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Lipoproteins – types, biologic role, and general structure.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Apoproteins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– types, role for lipoprotein metabolism. Transport of dietary lipids. Chylomicrons 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–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structure, metabolism.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>Lipolysis</w:t>
      </w:r>
      <w:r w:rsidR="00315E0C">
        <w:rPr>
          <w:rFonts w:asciiTheme="minorHAnsi" w:hAnsiTheme="minorHAnsi" w:cstheme="minorHAnsi"/>
          <w:b w:val="0"/>
          <w:sz w:val="24"/>
          <w:szCs w:val="24"/>
        </w:rPr>
        <w:t xml:space="preserve"> in adipose tissue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– mechanism, regulation. Activation and transport of saturated fatty acids into mitochondria. Mechanism of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sym w:font="Symbol" w:char="F062"/>
      </w:r>
      <w:r w:rsidR="00315E0C">
        <w:rPr>
          <w:rFonts w:asciiTheme="minorHAnsi" w:hAnsiTheme="minorHAnsi" w:cstheme="minorHAnsi"/>
          <w:b w:val="0"/>
          <w:sz w:val="24"/>
          <w:szCs w:val="24"/>
        </w:rPr>
        <w:t>-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oxidation of saturated fatty acids with even carbon atoms. Energy yi</w:t>
      </w:r>
      <w:r w:rsidR="00315E0C">
        <w:rPr>
          <w:rFonts w:asciiTheme="minorHAnsi" w:hAnsiTheme="minorHAnsi" w:cstheme="minorHAnsi"/>
          <w:b w:val="0"/>
          <w:sz w:val="24"/>
          <w:szCs w:val="24"/>
        </w:rPr>
        <w:t xml:space="preserve">eld of </w:t>
      </w:r>
      <w:r w:rsidR="00315E0C" w:rsidRPr="00315E0C">
        <w:rPr>
          <w:rFonts w:asciiTheme="minorHAnsi" w:hAnsiTheme="minorHAnsi" w:cstheme="minorHAnsi"/>
          <w:b w:val="0"/>
          <w:sz w:val="24"/>
          <w:szCs w:val="24"/>
        </w:rPr>
        <w:sym w:font="Symbol" w:char="F062"/>
      </w:r>
      <w:r w:rsidR="00315E0C">
        <w:rPr>
          <w:rFonts w:asciiTheme="minorHAnsi" w:hAnsiTheme="minorHAnsi" w:cstheme="minorHAnsi"/>
          <w:b w:val="0"/>
          <w:sz w:val="24"/>
          <w:szCs w:val="24"/>
        </w:rPr>
        <w:t>-</w:t>
      </w:r>
      <w:r w:rsidR="00315E0C" w:rsidRPr="00315E0C">
        <w:rPr>
          <w:rFonts w:asciiTheme="minorHAnsi" w:hAnsiTheme="minorHAnsi" w:cstheme="minorHAnsi"/>
          <w:b w:val="0"/>
          <w:sz w:val="24"/>
          <w:szCs w:val="24"/>
        </w:rPr>
        <w:t>oxidation</w:t>
      </w:r>
      <w:r w:rsidR="00315E0C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>Ketone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bodies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–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biologic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role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. 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Mechanism of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ketogenesis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and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ketolysis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. Ketoacidosis. 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Biosynthesis of fatty acids - mechanism. Acetyl-CoA carboxylase and fatty acid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synthetase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complex. Regulation of fatty acid biosynthesis. Biosynthesis of </w:t>
      </w:r>
      <w:smartTag w:uri="urn:schemas-microsoft-com:office:smarttags" w:element="stockticker">
        <w:r w:rsidRPr="00315E0C">
          <w:rPr>
            <w:rFonts w:asciiTheme="minorHAnsi" w:hAnsiTheme="minorHAnsi" w:cstheme="minorHAnsi"/>
            <w:b w:val="0"/>
            <w:sz w:val="24"/>
            <w:szCs w:val="24"/>
          </w:rPr>
          <w:t>TAG</w:t>
        </w:r>
      </w:smartTag>
      <w:r w:rsidR="007A1A64">
        <w:rPr>
          <w:rFonts w:asciiTheme="minorHAnsi" w:hAnsiTheme="minorHAnsi" w:cstheme="minorHAnsi"/>
          <w:b w:val="0"/>
          <w:sz w:val="24"/>
          <w:szCs w:val="24"/>
        </w:rPr>
        <w:t>, r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egulation. </w:t>
      </w:r>
    </w:p>
    <w:p w:rsidR="00315E0C" w:rsidRDefault="00882D8E" w:rsidP="00315E0C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>Lipoproteins involved in the transport of endogenous lipids. Metabolism of VLDL.</w:t>
      </w:r>
    </w:p>
    <w:p w:rsidR="00882D8E" w:rsidRPr="00315E0C" w:rsidRDefault="00882D8E" w:rsidP="00315E0C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Phospho</w:t>
      </w:r>
      <w:r w:rsidR="00315E0C" w:rsidRPr="00315E0C">
        <w:rPr>
          <w:rFonts w:asciiTheme="minorHAnsi" w:hAnsiTheme="minorHAnsi" w:cstheme="minorHAnsi"/>
          <w:b w:val="0"/>
          <w:sz w:val="24"/>
          <w:szCs w:val="24"/>
        </w:rPr>
        <w:t>glycerides</w:t>
      </w:r>
      <w:proofErr w:type="spellEnd"/>
      <w:r w:rsidR="00315E0C" w:rsidRPr="00315E0C">
        <w:rPr>
          <w:rFonts w:asciiTheme="minorHAnsi" w:hAnsiTheme="minorHAnsi" w:cstheme="minorHAnsi"/>
          <w:b w:val="0"/>
          <w:sz w:val="24"/>
          <w:szCs w:val="24"/>
        </w:rPr>
        <w:t xml:space="preserve">, biosynthesis and degradation of </w:t>
      </w:r>
      <w:proofErr w:type="spellStart"/>
      <w:r w:rsidR="00315E0C" w:rsidRPr="00315E0C">
        <w:rPr>
          <w:rFonts w:asciiTheme="minorHAnsi" w:hAnsiTheme="minorHAnsi" w:cstheme="minorHAnsi"/>
          <w:b w:val="0"/>
          <w:sz w:val="24"/>
          <w:szCs w:val="24"/>
        </w:rPr>
        <w:t>phosphoglycerides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>. Release of arachidonic acid from membrane phospholipids: role of phospholipase A</w:t>
      </w:r>
      <w:r w:rsidRPr="00315E0C">
        <w:rPr>
          <w:rFonts w:asciiTheme="minorHAnsi" w:hAnsiTheme="minorHAnsi" w:cstheme="minorHAnsi"/>
          <w:b w:val="0"/>
          <w:sz w:val="24"/>
          <w:szCs w:val="24"/>
          <w:vertAlign w:val="subscript"/>
        </w:rPr>
        <w:t>2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315E0C" w:rsidRPr="00315E0C" w:rsidRDefault="00315E0C" w:rsidP="00315E0C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Oxidation products of arachidonic acid. </w:t>
      </w:r>
      <w:r w:rsidR="00882D8E" w:rsidRPr="00315E0C">
        <w:rPr>
          <w:rFonts w:asciiTheme="minorHAnsi" w:hAnsiTheme="minorHAnsi" w:cstheme="minorHAnsi"/>
          <w:b w:val="0"/>
          <w:sz w:val="24"/>
          <w:szCs w:val="24"/>
        </w:rPr>
        <w:t xml:space="preserve">Biosynthesis of prostaglandins, </w:t>
      </w:r>
      <w:proofErr w:type="spellStart"/>
      <w:r w:rsidR="00882D8E" w:rsidRPr="00315E0C">
        <w:rPr>
          <w:rFonts w:asciiTheme="minorHAnsi" w:hAnsiTheme="minorHAnsi" w:cstheme="minorHAnsi"/>
          <w:b w:val="0"/>
          <w:sz w:val="24"/>
          <w:szCs w:val="24"/>
        </w:rPr>
        <w:t>tromboxanes</w:t>
      </w:r>
      <w:proofErr w:type="spellEnd"/>
      <w:r w:rsidR="00882D8E" w:rsidRPr="00315E0C">
        <w:rPr>
          <w:rFonts w:asciiTheme="minorHAnsi" w:hAnsiTheme="minorHAnsi" w:cstheme="minorHAnsi"/>
          <w:b w:val="0"/>
          <w:sz w:val="24"/>
          <w:szCs w:val="24"/>
        </w:rPr>
        <w:t xml:space="preserve">, and </w:t>
      </w:r>
      <w:proofErr w:type="spellStart"/>
      <w:r w:rsidR="00882D8E" w:rsidRPr="00315E0C">
        <w:rPr>
          <w:rFonts w:asciiTheme="minorHAnsi" w:hAnsiTheme="minorHAnsi" w:cstheme="minorHAnsi"/>
          <w:b w:val="0"/>
          <w:sz w:val="24"/>
          <w:szCs w:val="24"/>
        </w:rPr>
        <w:t>leucotrienes</w:t>
      </w:r>
      <w:proofErr w:type="spellEnd"/>
      <w:r w:rsidR="00882D8E" w:rsidRPr="00315E0C">
        <w:rPr>
          <w:rFonts w:asciiTheme="minorHAnsi" w:hAnsiTheme="minorHAnsi" w:cstheme="minorHAnsi"/>
          <w:b w:val="0"/>
          <w:sz w:val="24"/>
          <w:szCs w:val="24"/>
        </w:rPr>
        <w:t xml:space="preserve"> from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arachidonic acid. Biologic role of eicosanoids. Regulation of eicosanoid biosynthesis. </w:t>
      </w:r>
    </w:p>
    <w:p w:rsidR="00315E0C" w:rsidRDefault="00882D8E" w:rsidP="00315E0C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Cholesterol biosynthesis – mechanism. Regulation. Role of </w:t>
      </w:r>
      <w:smartTag w:uri="urn:schemas-microsoft-com:office:smarttags" w:element="stockticker">
        <w:r w:rsidRPr="00315E0C">
          <w:rPr>
            <w:rFonts w:asciiTheme="minorHAnsi" w:hAnsiTheme="minorHAnsi" w:cstheme="minorHAnsi"/>
            <w:b w:val="0"/>
            <w:sz w:val="24"/>
            <w:szCs w:val="24"/>
          </w:rPr>
          <w:t>LDL</w:t>
        </w:r>
      </w:smartTag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>и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smartTag w:uri="urn:schemas-microsoft-com:office:smarttags" w:element="stockticker">
        <w:r w:rsidRPr="00315E0C">
          <w:rPr>
            <w:rFonts w:asciiTheme="minorHAnsi" w:hAnsiTheme="minorHAnsi" w:cstheme="minorHAnsi"/>
            <w:b w:val="0"/>
            <w:sz w:val="24"/>
            <w:szCs w:val="24"/>
          </w:rPr>
          <w:t>HDL</w:t>
        </w:r>
      </w:smartTag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for cholesterol transport. </w:t>
      </w:r>
      <w:r w:rsidR="00315E0C" w:rsidRPr="00315E0C">
        <w:rPr>
          <w:rFonts w:asciiTheme="minorHAnsi" w:hAnsiTheme="minorHAnsi" w:cstheme="minorHAnsi"/>
          <w:b w:val="0"/>
          <w:sz w:val="24"/>
          <w:szCs w:val="24"/>
        </w:rPr>
        <w:t xml:space="preserve">Receptor-mediated endocytosis of LDL. Disturbances in cholesterol metabolism – </w:t>
      </w:r>
      <w:proofErr w:type="spellStart"/>
      <w:r w:rsidR="00315E0C" w:rsidRPr="00315E0C">
        <w:rPr>
          <w:rFonts w:asciiTheme="minorHAnsi" w:hAnsiTheme="minorHAnsi" w:cstheme="minorHAnsi"/>
          <w:b w:val="0"/>
          <w:sz w:val="24"/>
          <w:szCs w:val="24"/>
        </w:rPr>
        <w:t>atherogenesis</w:t>
      </w:r>
      <w:proofErr w:type="spellEnd"/>
      <w:r w:rsidR="00315E0C" w:rsidRPr="00315E0C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882D8E" w:rsidRPr="00315E0C" w:rsidRDefault="00882D8E" w:rsidP="00315E0C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>Biosynthesis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of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bile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acids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Biologic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role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Enterohepatic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circulation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of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bile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acids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>.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de-DE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>Digestion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of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dietary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proteins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Role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of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hydrochloric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acid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Enzymes in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dietary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protein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digestion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. Absorption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of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aminoacids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. Na-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dependent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transport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. Gamma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>-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glutamyl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cycle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Transamination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of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aminoacids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 –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mechanism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Transaminases - role of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pyridoxal cofactors. Oxidative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deamination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of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glutamate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–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mechanism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Preamination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- biologic significance.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>Routes for release of ammonium ions in the organism.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T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oxic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effects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of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ammonium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ions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Detoxification of ammon</w:t>
      </w:r>
      <w:r w:rsidR="00315E0C">
        <w:rPr>
          <w:rFonts w:asciiTheme="minorHAnsi" w:hAnsiTheme="minorHAnsi" w:cstheme="minorHAnsi"/>
          <w:b w:val="0"/>
          <w:sz w:val="24"/>
          <w:szCs w:val="24"/>
        </w:rPr>
        <w:t>ium ions in peripheral tissues,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role of glutamine and alanine. Detoxification of ammonium ions in the liver – urea biosynthesis. Regulation of urea cycle.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315E0C">
        <w:rPr>
          <w:rFonts w:asciiTheme="minorHAnsi" w:hAnsiTheme="minorHAnsi" w:cstheme="minorHAnsi"/>
          <w:b w:val="0"/>
          <w:i/>
          <w:iCs/>
          <w:sz w:val="24"/>
          <w:szCs w:val="24"/>
        </w:rPr>
        <w:t>De</w:t>
      </w:r>
      <w:r w:rsidRPr="00315E0C">
        <w:rPr>
          <w:rFonts w:asciiTheme="minorHAnsi" w:hAnsiTheme="minorHAnsi" w:cstheme="minorHAnsi"/>
          <w:b w:val="0"/>
          <w:i/>
          <w:iCs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i/>
          <w:iCs/>
          <w:sz w:val="24"/>
          <w:szCs w:val="24"/>
        </w:rPr>
        <w:t>novo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pathway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for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purine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nucleotides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biosynthesis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Role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of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tetrahydrofolic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acid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Regulation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Salvage pathway for purine nucleotides biosynthesis. </w:t>
      </w:r>
      <w:r w:rsidR="00315E0C">
        <w:rPr>
          <w:rFonts w:asciiTheme="minorHAnsi" w:hAnsiTheme="minorHAnsi" w:cstheme="minorHAnsi"/>
          <w:b w:val="0"/>
          <w:sz w:val="24"/>
          <w:szCs w:val="24"/>
        </w:rPr>
        <w:t>D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efects in </w:t>
      </w:r>
      <w:r w:rsidR="00315E0C">
        <w:rPr>
          <w:rFonts w:asciiTheme="minorHAnsi" w:hAnsiTheme="minorHAnsi" w:cstheme="minorHAnsi"/>
          <w:b w:val="0"/>
          <w:sz w:val="24"/>
          <w:szCs w:val="24"/>
        </w:rPr>
        <w:t>purine nucleotide biosynthesis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. Catabolism of purine nucleotides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Hyperuricemias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>.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i/>
          <w:iCs/>
          <w:sz w:val="24"/>
          <w:szCs w:val="24"/>
        </w:rPr>
        <w:t>De</w:t>
      </w:r>
      <w:r w:rsidRPr="00315E0C">
        <w:rPr>
          <w:rFonts w:asciiTheme="minorHAnsi" w:hAnsiTheme="minorHAnsi" w:cstheme="minorHAnsi"/>
          <w:b w:val="0"/>
          <w:i/>
          <w:iCs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i/>
          <w:iCs/>
          <w:sz w:val="24"/>
          <w:szCs w:val="24"/>
        </w:rPr>
        <w:t>novo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pathway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for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pyrimidine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nucleotides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biosynthesis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Regulation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. Biosynthesis of </w:t>
      </w:r>
      <w:proofErr w:type="gramStart"/>
      <w:r w:rsidRPr="00315E0C">
        <w:rPr>
          <w:rFonts w:asciiTheme="minorHAnsi" w:hAnsiTheme="minorHAnsi" w:cstheme="minorHAnsi"/>
          <w:b w:val="0"/>
          <w:sz w:val="24"/>
          <w:szCs w:val="24"/>
        </w:rPr>
        <w:t>2</w:t>
      </w:r>
      <w:proofErr w:type="gramEnd"/>
      <w:r w:rsidRPr="00315E0C">
        <w:rPr>
          <w:rFonts w:asciiTheme="minorHAnsi" w:hAnsiTheme="minorHAnsi" w:cstheme="minorHAnsi"/>
          <w:b w:val="0"/>
          <w:sz w:val="24"/>
          <w:szCs w:val="24"/>
          <w:vertAlign w:val="superscript"/>
        </w:rPr>
        <w:sym w:font="Symbol" w:char="F0A2"/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-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deoxyribonucleotides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. Regulation. Biosynthesis of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dTTP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– role of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tetrahydrofolic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acid. </w:t>
      </w:r>
    </w:p>
    <w:p w:rsidR="00F04C98" w:rsidRPr="00F04C98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Heme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biosynthesis – mechanism, regulation.</w:t>
      </w:r>
      <w:r w:rsidR="00315E0C">
        <w:rPr>
          <w:rFonts w:asciiTheme="minorHAnsi" w:hAnsiTheme="minorHAnsi" w:cstheme="minorHAnsi"/>
          <w:b w:val="0"/>
          <w:sz w:val="24"/>
          <w:szCs w:val="24"/>
        </w:rPr>
        <w:t xml:space="preserve"> Defects in </w:t>
      </w:r>
      <w:proofErr w:type="spellStart"/>
      <w:r w:rsidR="00315E0C">
        <w:rPr>
          <w:rFonts w:asciiTheme="minorHAnsi" w:hAnsiTheme="minorHAnsi" w:cstheme="minorHAnsi"/>
          <w:b w:val="0"/>
          <w:sz w:val="24"/>
          <w:szCs w:val="24"/>
        </w:rPr>
        <w:t>heme</w:t>
      </w:r>
      <w:proofErr w:type="spellEnd"/>
      <w:r w:rsidR="00315E0C">
        <w:rPr>
          <w:rFonts w:asciiTheme="minorHAnsi" w:hAnsiTheme="minorHAnsi" w:cstheme="minorHAnsi"/>
          <w:b w:val="0"/>
          <w:sz w:val="24"/>
          <w:szCs w:val="24"/>
        </w:rPr>
        <w:t xml:space="preserve"> biosynthesis,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porphyrias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Heme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catabolism – bile pigments. Direct and indirect bilirubin. Disturbances in bile pigments metabolism - jaundices. 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Iron metabolism. Proteins required for iron absorption, transport and deposition. </w:t>
      </w:r>
    </w:p>
    <w:p w:rsidR="00882D8E" w:rsidRPr="00315E0C" w:rsidRDefault="00882D8E" w:rsidP="00882D8E">
      <w:pPr>
        <w:widowControl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lastRenderedPageBreak/>
        <w:t>General principles of cell-cell communication. Signal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molecules</w:t>
      </w:r>
      <w:r w:rsidRPr="00315E0C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Receptors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>.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Authocrine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,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paracrine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,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endocrine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, and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synaptic signaling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Adenylyl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cyclase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signaling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pathway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: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G</w:t>
      </w:r>
      <w:r w:rsidRPr="00315E0C">
        <w:rPr>
          <w:rFonts w:asciiTheme="minorHAnsi" w:hAnsiTheme="minorHAnsi" w:cstheme="minorHAnsi"/>
          <w:b w:val="0"/>
          <w:sz w:val="24"/>
          <w:szCs w:val="24"/>
          <w:vertAlign w:val="subscript"/>
        </w:rPr>
        <w:t>αβγ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–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protein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coupled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membrane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receptors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. Role of adenylyl cyclase and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>cAMP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as a second messenger.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Signaling chain. Phosphatidylinositol signaling pathway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: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G</w:t>
      </w:r>
      <w:r w:rsidRPr="00315E0C">
        <w:rPr>
          <w:rFonts w:asciiTheme="minorHAnsi" w:hAnsiTheme="minorHAnsi" w:cstheme="minorHAnsi"/>
          <w:b w:val="0"/>
          <w:sz w:val="24"/>
          <w:szCs w:val="24"/>
          <w:vertAlign w:val="subscript"/>
        </w:rPr>
        <w:t>αβγ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–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protein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coupled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membrane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receptors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. Role of phospholipase C and </w:t>
      </w:r>
      <w:r w:rsidR="00F04C98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of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>Са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>-ions</w:t>
      </w:r>
      <w:r w:rsidRPr="00315E0C">
        <w:rPr>
          <w:rFonts w:asciiTheme="minorHAnsi" w:hAnsiTheme="minorHAnsi" w:cstheme="minorHAnsi"/>
          <w:b w:val="0"/>
          <w:sz w:val="24"/>
          <w:szCs w:val="24"/>
          <w:vertAlign w:val="superscript"/>
          <w:lang w:val="en-GB"/>
        </w:rPr>
        <w:t xml:space="preserve"> </w:t>
      </w:r>
      <w:r w:rsidR="00F04C98">
        <w:rPr>
          <w:rFonts w:asciiTheme="minorHAnsi" w:hAnsiTheme="minorHAnsi" w:cstheme="minorHAnsi"/>
          <w:b w:val="0"/>
          <w:sz w:val="24"/>
          <w:szCs w:val="24"/>
          <w:lang w:val="en-GB"/>
        </w:rPr>
        <w:t>as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="00F04C98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a 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second messenger.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Signaling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chain</w:t>
      </w:r>
      <w:r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>.</w:t>
      </w:r>
    </w:p>
    <w:p w:rsidR="00F04C98" w:rsidRPr="00F04C98" w:rsidRDefault="00F04C98" w:rsidP="00882D8E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  <w:lang w:val="en-GB"/>
        </w:rPr>
        <w:t>Intracellular receptors</w:t>
      </w:r>
      <w:r w:rsidR="00882D8E" w:rsidRPr="00315E0C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. </w:t>
      </w:r>
      <w:r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Types of ligands for intracellular receptors.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  <w:lang w:val="ru-RU"/>
        </w:rPr>
        <w:t>Principles</w:t>
      </w:r>
      <w:proofErr w:type="spellEnd"/>
      <w:r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  <w:lang w:val="ru-RU"/>
        </w:rPr>
        <w:t>in</w:t>
      </w:r>
      <w:proofErr w:type="spellEnd"/>
      <w:r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  <w:r w:rsidR="007A1A64">
        <w:rPr>
          <w:rFonts w:asciiTheme="minorHAnsi" w:hAnsiTheme="minorHAnsi" w:cstheme="minorHAnsi"/>
          <w:b w:val="0"/>
          <w:sz w:val="24"/>
          <w:szCs w:val="24"/>
        </w:rPr>
        <w:t>sign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alization with intracellular receptors. signaling chain. </w:t>
      </w:r>
    </w:p>
    <w:p w:rsidR="00882D8E" w:rsidRPr="00315E0C" w:rsidRDefault="00882D8E" w:rsidP="00882D8E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>Metabolism of bone tissue: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bone formation and bone resorption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. Metabolism of calcium and phosphate. Hormones, regulating calcium homeostasis –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parathor</w:t>
      </w:r>
      <w:bookmarkStart w:id="0" w:name="_GoBack"/>
      <w:bookmarkEnd w:id="0"/>
      <w:r w:rsidRPr="00315E0C">
        <w:rPr>
          <w:rFonts w:asciiTheme="minorHAnsi" w:hAnsiTheme="minorHAnsi" w:cstheme="minorHAnsi"/>
          <w:b w:val="0"/>
          <w:sz w:val="24"/>
          <w:szCs w:val="24"/>
        </w:rPr>
        <w:t>mone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, calcitonin. </w:t>
      </w:r>
      <w:r w:rsidRPr="00315E0C">
        <w:rPr>
          <w:rFonts w:asciiTheme="minorHAnsi" w:hAnsiTheme="minorHAnsi" w:cstheme="minorHAnsi"/>
          <w:b w:val="0"/>
          <w:iCs/>
          <w:sz w:val="24"/>
          <w:szCs w:val="24"/>
        </w:rPr>
        <w:t>Biosynthesis of calcitriol. Role of calcitriol in regulation of calcium and phosphate metabolism</w:t>
      </w:r>
      <w:r w:rsidRPr="00315E0C">
        <w:rPr>
          <w:rFonts w:asciiTheme="minorHAnsi" w:hAnsiTheme="minorHAnsi" w:cstheme="minorHAnsi"/>
          <w:b w:val="0"/>
          <w:iCs/>
          <w:sz w:val="24"/>
          <w:szCs w:val="24"/>
          <w:lang w:val="bg-BG"/>
        </w:rPr>
        <w:t xml:space="preserve"> </w:t>
      </w:r>
      <w:r w:rsidRPr="00315E0C">
        <w:rPr>
          <w:rFonts w:asciiTheme="minorHAnsi" w:hAnsiTheme="minorHAnsi" w:cstheme="minorHAnsi"/>
          <w:b w:val="0"/>
          <w:iCs/>
          <w:sz w:val="24"/>
          <w:szCs w:val="24"/>
        </w:rPr>
        <w:t xml:space="preserve">and bone homeostasis.  Hypo- and </w:t>
      </w:r>
      <w:proofErr w:type="spellStart"/>
      <w:r w:rsidRPr="00315E0C">
        <w:rPr>
          <w:rFonts w:asciiTheme="minorHAnsi" w:hAnsiTheme="minorHAnsi" w:cstheme="minorHAnsi"/>
          <w:b w:val="0"/>
          <w:iCs/>
          <w:sz w:val="24"/>
          <w:szCs w:val="24"/>
        </w:rPr>
        <w:t>hypervitaminosis</w:t>
      </w:r>
      <w:proofErr w:type="spellEnd"/>
      <w:r w:rsidRPr="00315E0C">
        <w:rPr>
          <w:rFonts w:asciiTheme="minorHAnsi" w:hAnsiTheme="minorHAnsi" w:cstheme="minorHAnsi"/>
          <w:b w:val="0"/>
          <w:iCs/>
          <w:sz w:val="24"/>
          <w:szCs w:val="24"/>
        </w:rPr>
        <w:t xml:space="preserve"> D.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Role of vitamin K in bone metabolism.</w:t>
      </w:r>
    </w:p>
    <w:p w:rsidR="00882D8E" w:rsidRPr="00315E0C" w:rsidRDefault="00882D8E" w:rsidP="00882D8E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Biochemistry of dental caries: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o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rganic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and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inorganic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components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of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teeth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tissues</w:t>
      </w:r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. Saliva as </w:t>
      </w:r>
      <w:proofErr w:type="spellStart"/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>carioprotective</w:t>
      </w:r>
      <w:proofErr w:type="spellEnd"/>
      <w:r w:rsidRPr="00315E0C">
        <w:rPr>
          <w:rFonts w:asciiTheme="minorHAnsi" w:hAnsiTheme="minorHAnsi" w:cstheme="minorHAnsi"/>
          <w:b w:val="0"/>
          <w:bCs w:val="0"/>
          <w:sz w:val="24"/>
          <w:szCs w:val="24"/>
          <w:lang w:val="en-GB"/>
        </w:rPr>
        <w:t xml:space="preserve"> factor. Cariogenic factors. </w:t>
      </w:r>
    </w:p>
    <w:p w:rsidR="00882D8E" w:rsidRPr="00315E0C" w:rsidRDefault="00882D8E" w:rsidP="00882D8E">
      <w:pPr>
        <w:widowControl/>
        <w:numPr>
          <w:ilvl w:val="0"/>
          <w:numId w:val="3"/>
        </w:numPr>
        <w:tabs>
          <w:tab w:val="num" w:pos="360"/>
        </w:tabs>
        <w:autoSpaceDE/>
        <w:autoSpaceDN/>
        <w:adjustRightInd/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bCs w:val="0"/>
          <w:sz w:val="24"/>
          <w:szCs w:val="24"/>
        </w:rPr>
        <w:t>Biochemistry of dental caries: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 biochemical processes in the micro flora of dental plaque. Biochemistry of periodontitis.</w:t>
      </w:r>
    </w:p>
    <w:p w:rsidR="00882D8E" w:rsidRPr="00315E0C" w:rsidRDefault="00882D8E" w:rsidP="00882D8E">
      <w:pPr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:rsidR="00882D8E" w:rsidRPr="00315E0C" w:rsidRDefault="00882D8E" w:rsidP="00882D8E">
      <w:pPr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:rsidR="00882D8E" w:rsidRPr="00315E0C" w:rsidRDefault="00882D8E" w:rsidP="00882D8E">
      <w:pPr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315E0C">
        <w:rPr>
          <w:rFonts w:asciiTheme="minorHAnsi" w:hAnsiTheme="minorHAnsi" w:cstheme="minorHAnsi"/>
          <w:bCs w:val="0"/>
          <w:sz w:val="24"/>
          <w:szCs w:val="24"/>
        </w:rPr>
        <w:t>Literature</w:t>
      </w:r>
    </w:p>
    <w:p w:rsidR="00882D8E" w:rsidRPr="00315E0C" w:rsidRDefault="00882D8E" w:rsidP="00882D8E">
      <w:pPr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</w:p>
    <w:p w:rsidR="00882D8E" w:rsidRPr="00315E0C" w:rsidRDefault="00882D8E" w:rsidP="00882D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Champe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>, P., R. Harvey, D. Ferrier. Lippincott’s Illustrated Reviews: Biochemistry. Lip</w:t>
      </w:r>
      <w:r w:rsidR="00F04C98">
        <w:rPr>
          <w:rFonts w:asciiTheme="minorHAnsi" w:hAnsiTheme="minorHAnsi" w:cstheme="minorHAnsi"/>
          <w:b w:val="0"/>
          <w:sz w:val="24"/>
          <w:szCs w:val="24"/>
        </w:rPr>
        <w:t xml:space="preserve">pincott Williams&amp; Wilkins, 2005, 2008, 2011, 2014. </w:t>
      </w:r>
    </w:p>
    <w:p w:rsidR="00882D8E" w:rsidRPr="00315E0C" w:rsidRDefault="00882D8E" w:rsidP="00882D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>Williams R.A.D., J.C. Elliot. Basic and Applied Dental Biochemistry, 2</w:t>
      </w:r>
      <w:r w:rsidRPr="00315E0C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edition, Churchill Livingstone, 2001.</w:t>
      </w:r>
    </w:p>
    <w:p w:rsidR="00882D8E" w:rsidRPr="00315E0C" w:rsidRDefault="00882D8E" w:rsidP="00882D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Baynes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J. W. and M. H.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</w:rPr>
        <w:t>Dominiczak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: Medical Biochemistry. </w:t>
      </w:r>
      <w:proofErr w:type="gramStart"/>
      <w:r w:rsidRPr="00315E0C">
        <w:rPr>
          <w:rFonts w:asciiTheme="minorHAnsi" w:hAnsiTheme="minorHAnsi" w:cstheme="minorHAnsi"/>
          <w:b w:val="0"/>
          <w:sz w:val="24"/>
          <w:szCs w:val="24"/>
        </w:rPr>
        <w:t>2</w:t>
      </w:r>
      <w:r w:rsidRPr="00315E0C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proofErr w:type="gramEnd"/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edition Mosby, 2004.</w:t>
      </w:r>
    </w:p>
    <w:p w:rsidR="00882D8E" w:rsidRPr="00315E0C" w:rsidRDefault="00882D8E" w:rsidP="00882D8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Meisenberg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 G. </w:t>
      </w:r>
      <w:proofErr w:type="spellStart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>and</w:t>
      </w:r>
      <w:proofErr w:type="spellEnd"/>
      <w:r w:rsidRPr="00315E0C">
        <w:rPr>
          <w:rFonts w:asciiTheme="minorHAnsi" w:hAnsiTheme="minorHAnsi" w:cstheme="minorHAnsi"/>
          <w:b w:val="0"/>
          <w:sz w:val="24"/>
          <w:szCs w:val="24"/>
          <w:lang w:val="de-DE"/>
        </w:rPr>
        <w:t xml:space="preserve"> W. Simmons. 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>Principles of Medical Biochemistry, 2</w:t>
      </w:r>
      <w:r w:rsidRPr="00315E0C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 edition, Mosby, 1998.</w:t>
      </w:r>
    </w:p>
    <w:p w:rsidR="00882D8E" w:rsidRPr="00315E0C" w:rsidRDefault="00882D8E" w:rsidP="00882D8E">
      <w:pPr>
        <w:spacing w:line="400" w:lineRule="atLeast"/>
        <w:jc w:val="center"/>
        <w:rPr>
          <w:rFonts w:asciiTheme="minorHAnsi" w:hAnsiTheme="minorHAnsi" w:cstheme="minorHAnsi"/>
          <w:b w:val="0"/>
          <w:sz w:val="24"/>
          <w:szCs w:val="24"/>
          <w:lang w:val="bg-BG"/>
        </w:rPr>
      </w:pPr>
    </w:p>
    <w:p w:rsidR="00882D8E" w:rsidRPr="00315E0C" w:rsidRDefault="00882D8E" w:rsidP="00882D8E">
      <w:pPr>
        <w:spacing w:line="400" w:lineRule="atLeast"/>
        <w:rPr>
          <w:rFonts w:asciiTheme="minorHAnsi" w:hAnsiTheme="minorHAnsi" w:cstheme="minorHAnsi"/>
          <w:b w:val="0"/>
          <w:sz w:val="24"/>
          <w:szCs w:val="24"/>
        </w:rPr>
      </w:pPr>
    </w:p>
    <w:p w:rsidR="00882D8E" w:rsidRPr="00315E0C" w:rsidRDefault="00882D8E" w:rsidP="00882D8E">
      <w:pPr>
        <w:spacing w:line="400" w:lineRule="atLeast"/>
        <w:ind w:left="142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>Program worked out by:</w:t>
      </w:r>
    </w:p>
    <w:p w:rsidR="00882D8E" w:rsidRPr="00315E0C" w:rsidRDefault="00882D8E" w:rsidP="00F04C98">
      <w:pPr>
        <w:spacing w:line="400" w:lineRule="atLeast"/>
        <w:ind w:left="142" w:firstLine="720"/>
        <w:rPr>
          <w:rFonts w:asciiTheme="minorHAnsi" w:hAnsiTheme="minorHAnsi" w:cstheme="minorHAnsi"/>
          <w:b w:val="0"/>
          <w:sz w:val="24"/>
          <w:szCs w:val="24"/>
        </w:rPr>
      </w:pPr>
      <w:r w:rsidRPr="00315E0C">
        <w:rPr>
          <w:rFonts w:asciiTheme="minorHAnsi" w:hAnsiTheme="minorHAnsi" w:cstheme="minorHAnsi"/>
          <w:b w:val="0"/>
          <w:sz w:val="24"/>
          <w:szCs w:val="24"/>
        </w:rPr>
        <w:t xml:space="preserve">Assoc. </w:t>
      </w:r>
      <w:r w:rsidR="00F04C98">
        <w:rPr>
          <w:rFonts w:asciiTheme="minorHAnsi" w:hAnsiTheme="minorHAnsi" w:cstheme="minorHAnsi"/>
          <w:b w:val="0"/>
          <w:sz w:val="24"/>
          <w:szCs w:val="24"/>
        </w:rPr>
        <w:t xml:space="preserve">Assoc. Prof. </w:t>
      </w:r>
      <w:proofErr w:type="spellStart"/>
      <w:r w:rsidR="00F04C98">
        <w:rPr>
          <w:rFonts w:asciiTheme="minorHAnsi" w:hAnsiTheme="minorHAnsi" w:cstheme="minorHAnsi"/>
          <w:b w:val="0"/>
          <w:sz w:val="24"/>
          <w:szCs w:val="24"/>
        </w:rPr>
        <w:t>Yoana</w:t>
      </w:r>
      <w:proofErr w:type="spellEnd"/>
      <w:r w:rsidR="00F04C9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F04C98">
        <w:rPr>
          <w:rFonts w:asciiTheme="minorHAnsi" w:hAnsiTheme="minorHAnsi" w:cstheme="minorHAnsi"/>
          <w:b w:val="0"/>
          <w:sz w:val="24"/>
          <w:szCs w:val="24"/>
        </w:rPr>
        <w:t>Kiselova-Kaneva</w:t>
      </w:r>
      <w:proofErr w:type="spellEnd"/>
    </w:p>
    <w:p w:rsidR="00882D8E" w:rsidRPr="00F04C98" w:rsidRDefault="00882D8E" w:rsidP="00882D8E">
      <w:pPr>
        <w:spacing w:line="400" w:lineRule="atLeast"/>
        <w:ind w:left="142"/>
        <w:rPr>
          <w:rFonts w:asciiTheme="minorHAnsi" w:hAnsiTheme="minorHAnsi" w:cstheme="minorHAnsi"/>
          <w:b w:val="0"/>
          <w:i/>
          <w:sz w:val="24"/>
          <w:szCs w:val="24"/>
        </w:rPr>
      </w:pPr>
      <w:r w:rsidRPr="00F04C98">
        <w:rPr>
          <w:rFonts w:asciiTheme="minorHAnsi" w:hAnsiTheme="minorHAnsi" w:cstheme="minorHAnsi"/>
          <w:b w:val="0"/>
          <w:i/>
          <w:sz w:val="24"/>
          <w:szCs w:val="24"/>
        </w:rPr>
        <w:t xml:space="preserve">Head of the Department of </w:t>
      </w:r>
      <w:r w:rsidRPr="00F04C98">
        <w:rPr>
          <w:rFonts w:asciiTheme="minorHAnsi" w:hAnsiTheme="minorHAnsi" w:cstheme="minorHAnsi"/>
          <w:b w:val="0"/>
          <w:bCs w:val="0"/>
          <w:i/>
          <w:sz w:val="24"/>
          <w:szCs w:val="24"/>
        </w:rPr>
        <w:t>Biochemistry, Molecular Medicine and Nutrigenomics</w:t>
      </w:r>
    </w:p>
    <w:p w:rsidR="00882D8E" w:rsidRPr="00315E0C" w:rsidRDefault="00882D8E" w:rsidP="00882D8E">
      <w:pPr>
        <w:spacing w:line="400" w:lineRule="atLeast"/>
        <w:rPr>
          <w:rFonts w:asciiTheme="minorHAnsi" w:hAnsiTheme="minorHAnsi" w:cstheme="minorHAnsi"/>
          <w:b w:val="0"/>
          <w:sz w:val="24"/>
          <w:szCs w:val="24"/>
          <w:lang w:val="pt-BR"/>
        </w:rPr>
      </w:pPr>
    </w:p>
    <w:p w:rsidR="008433D7" w:rsidRPr="00315E0C" w:rsidRDefault="007A1A64">
      <w:pPr>
        <w:rPr>
          <w:rFonts w:asciiTheme="minorHAnsi" w:hAnsiTheme="minorHAnsi" w:cstheme="minorHAnsi"/>
          <w:sz w:val="24"/>
          <w:szCs w:val="24"/>
        </w:rPr>
      </w:pPr>
    </w:p>
    <w:sectPr w:rsidR="008433D7" w:rsidRPr="0031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7AA"/>
    <w:multiLevelType w:val="hybridMultilevel"/>
    <w:tmpl w:val="D632B39E"/>
    <w:lvl w:ilvl="0" w:tplc="C3AE79FA">
      <w:start w:val="3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66A1D"/>
    <w:multiLevelType w:val="hybridMultilevel"/>
    <w:tmpl w:val="4AECD30A"/>
    <w:lvl w:ilvl="0" w:tplc="C0AC403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04082"/>
    <w:multiLevelType w:val="hybridMultilevel"/>
    <w:tmpl w:val="F3D84EFC"/>
    <w:lvl w:ilvl="0" w:tplc="0D92F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76E4C"/>
    <w:multiLevelType w:val="hybridMultilevel"/>
    <w:tmpl w:val="124C69E0"/>
    <w:lvl w:ilvl="0" w:tplc="F6804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FD6BBF8">
      <w:start w:val="2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Arial Narrow" w:hAnsi="Arial Narrow" w:hint="default"/>
        <w:b w:val="0"/>
        <w:i w:val="0"/>
        <w:color w:val="auto"/>
        <w:sz w:val="24"/>
        <w:szCs w:val="24"/>
        <w:u w:val="none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6B1610"/>
    <w:multiLevelType w:val="hybridMultilevel"/>
    <w:tmpl w:val="4420CC9E"/>
    <w:lvl w:ilvl="0" w:tplc="ABF6789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8E"/>
    <w:rsid w:val="002271A5"/>
    <w:rsid w:val="00315E0C"/>
    <w:rsid w:val="00514831"/>
    <w:rsid w:val="0053304E"/>
    <w:rsid w:val="00681F67"/>
    <w:rsid w:val="007A1A64"/>
    <w:rsid w:val="00831354"/>
    <w:rsid w:val="00882D8E"/>
    <w:rsid w:val="00F0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6090A64-7669-47AF-9F03-E2E02FDA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5A622-2E4B-4D94-ABC0-FCCE12D512C2}"/>
</file>

<file path=customXml/itemProps2.xml><?xml version="1.0" encoding="utf-8"?>
<ds:datastoreItem xmlns:ds="http://schemas.openxmlformats.org/officeDocument/2006/customXml" ds:itemID="{E67FCC5A-3FFF-4C12-BFA1-A55AA1BEC644}"/>
</file>

<file path=customXml/itemProps3.xml><?xml version="1.0" encoding="utf-8"?>
<ds:datastoreItem xmlns:ds="http://schemas.openxmlformats.org/officeDocument/2006/customXml" ds:itemID="{62EC5F00-4110-4A8D-954C-8A32A5980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Nashar</dc:creator>
  <cp:lastModifiedBy>MU-VARNA</cp:lastModifiedBy>
  <cp:revision>6</cp:revision>
  <dcterms:created xsi:type="dcterms:W3CDTF">2016-10-21T09:45:00Z</dcterms:created>
  <dcterms:modified xsi:type="dcterms:W3CDTF">2017-09-14T11:52:00Z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