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theme/themeOverride3.xml" ContentType="application/vnd.openxmlformats-officedocument.themeOverride+xml"/>
  <Override PartName="/word/charts/chart4.xml" ContentType="application/vnd.openxmlformats-officedocument.drawingml.chart+xml"/>
  <Override PartName="/word/charts/style4.xml" ContentType="application/vnd.ms-office.chartstyle+xml"/>
  <Override PartName="/word/charts/colors4.xml" ContentType="application/vnd.ms-office.chartcolorstyle+xml"/>
  <Override PartName="/word/theme/themeOverride4.xml" ContentType="application/vnd.openxmlformats-officedocument.themeOverride+xml"/>
  <Override PartName="/word/charts/chart5.xml" ContentType="application/vnd.openxmlformats-officedocument.drawingml.chart+xml"/>
  <Override PartName="/word/charts/style5.xml" ContentType="application/vnd.ms-office.chartstyle+xml"/>
  <Override PartName="/word/charts/colors5.xml" ContentType="application/vnd.ms-office.chartcolorstyle+xml"/>
  <Override PartName="/word/theme/themeOverride5.xml" ContentType="application/vnd.openxmlformats-officedocument.themeOverride+xml"/>
  <Override PartName="/word/charts/chart6.xml" ContentType="application/vnd.openxmlformats-officedocument.drawingml.chart+xml"/>
  <Override PartName="/word/charts/style6.xml" ContentType="application/vnd.ms-office.chartstyle+xml"/>
  <Override PartName="/word/charts/colors6.xml" ContentType="application/vnd.ms-office.chartcolorstyle+xml"/>
  <Override PartName="/word/charts/chart7.xml" ContentType="application/vnd.openxmlformats-officedocument.drawingml.chart+xml"/>
  <Override PartName="/word/charts/style7.xml" ContentType="application/vnd.ms-office.chartstyle+xml"/>
  <Override PartName="/word/charts/colors7.xml" ContentType="application/vnd.ms-office.chartcolorstyle+xml"/>
  <Override PartName="/word/charts/chart8.xml" ContentType="application/vnd.openxmlformats-officedocument.drawingml.chart+xml"/>
  <Override PartName="/word/charts/style8.xml" ContentType="application/vnd.ms-office.chartstyle+xml"/>
  <Override PartName="/word/charts/colors8.xml" ContentType="application/vnd.ms-office.chartcolorstyle+xml"/>
  <Override PartName="/word/theme/themeOverride6.xml" ContentType="application/vnd.openxmlformats-officedocument.themeOverride+xml"/>
  <Override PartName="/word/charts/chart9.xml" ContentType="application/vnd.openxmlformats-officedocument.drawingml.chart+xml"/>
  <Override PartName="/word/charts/style9.xml" ContentType="application/vnd.ms-office.chartstyle+xml"/>
  <Override PartName="/word/charts/colors9.xml" ContentType="application/vnd.ms-office.chartcolorstyle+xml"/>
  <Override PartName="/word/theme/themeOverride7.xml" ContentType="application/vnd.openxmlformats-officedocument.themeOverride+xml"/>
  <Override PartName="/word/charts/chart10.xml" ContentType="application/vnd.openxmlformats-officedocument.drawingml.chart+xml"/>
  <Override PartName="/word/charts/style10.xml" ContentType="application/vnd.ms-office.chartstyle+xml"/>
  <Override PartName="/word/charts/colors10.xml" ContentType="application/vnd.ms-office.chartcolorstyle+xml"/>
  <Override PartName="/word/theme/themeOverride8.xml" ContentType="application/vnd.openxmlformats-officedocument.themeOverride+xml"/>
  <Override PartName="/word/charts/chart11.xml" ContentType="application/vnd.openxmlformats-officedocument.drawingml.chart+xml"/>
  <Override PartName="/word/charts/style11.xml" ContentType="application/vnd.ms-office.chartstyle+xml"/>
  <Override PartName="/word/charts/colors11.xml" ContentType="application/vnd.ms-office.chartcolorstyle+xml"/>
  <Override PartName="/word/theme/themeOverride9.xml" ContentType="application/vnd.openxmlformats-officedocument.themeOverride+xml"/>
  <Override PartName="/word/charts/chart12.xml" ContentType="application/vnd.openxmlformats-officedocument.drawingml.chart+xml"/>
  <Override PartName="/word/charts/style12.xml" ContentType="application/vnd.ms-office.chartstyle+xml"/>
  <Override PartName="/word/charts/colors12.xml" ContentType="application/vnd.ms-office.chartcolorstyle+xml"/>
  <Override PartName="/word/theme/themeOverride10.xml" ContentType="application/vnd.openxmlformats-officedocument.themeOverride+xml"/>
  <Override PartName="/word/charts/chart13.xml" ContentType="application/vnd.openxmlformats-officedocument.drawingml.chart+xml"/>
  <Override PartName="/word/charts/style13.xml" ContentType="application/vnd.ms-office.chartstyle+xml"/>
  <Override PartName="/word/charts/colors13.xml" ContentType="application/vnd.ms-office.chartcolorstyle+xml"/>
  <Override PartName="/word/theme/themeOverride11.xml" ContentType="application/vnd.openxmlformats-officedocument.themeOverride+xml"/>
  <Override PartName="/word/charts/chart14.xml" ContentType="application/vnd.openxmlformats-officedocument.drawingml.chart+xml"/>
  <Override PartName="/word/charts/style14.xml" ContentType="application/vnd.ms-office.chartstyle+xml"/>
  <Override PartName="/word/charts/colors14.xml" ContentType="application/vnd.ms-office.chartcolorstyle+xml"/>
  <Override PartName="/word/theme/themeOverride12.xml" ContentType="application/vnd.openxmlformats-officedocument.themeOverride+xml"/>
  <Override PartName="/word/charts/chart15.xml" ContentType="application/vnd.openxmlformats-officedocument.drawingml.chart+xml"/>
  <Override PartName="/word/charts/style15.xml" ContentType="application/vnd.ms-office.chartstyle+xml"/>
  <Override PartName="/word/charts/colors15.xml" ContentType="application/vnd.ms-office.chartcolorstyle+xml"/>
  <Override PartName="/word/theme/themeOverride13.xml" ContentType="application/vnd.openxmlformats-officedocument.themeOverride+xml"/>
  <Override PartName="/word/charts/chart16.xml" ContentType="application/vnd.openxmlformats-officedocument.drawingml.chart+xml"/>
  <Override PartName="/word/charts/style16.xml" ContentType="application/vnd.ms-office.chartstyle+xml"/>
  <Override PartName="/word/charts/colors16.xml" ContentType="application/vnd.ms-office.chartcolorstyle+xml"/>
  <Override PartName="/word/theme/themeOverride14.xml" ContentType="application/vnd.openxmlformats-officedocument.themeOverride+xml"/>
  <Override PartName="/word/charts/chart17.xml" ContentType="application/vnd.openxmlformats-officedocument.drawingml.chart+xml"/>
  <Override PartName="/word/charts/style17.xml" ContentType="application/vnd.ms-office.chartstyle+xml"/>
  <Override PartName="/word/charts/colors17.xml" ContentType="application/vnd.ms-office.chartcolorstyle+xml"/>
  <Override PartName="/word/theme/themeOverride15.xml" ContentType="application/vnd.openxmlformats-officedocument.themeOverride+xml"/>
  <Override PartName="/word/charts/chart18.xml" ContentType="application/vnd.openxmlformats-officedocument.drawingml.chart+xml"/>
  <Override PartName="/word/charts/style18.xml" ContentType="application/vnd.ms-office.chartstyle+xml"/>
  <Override PartName="/word/charts/colors18.xml" ContentType="application/vnd.ms-office.chartcolorstyle+xml"/>
  <Override PartName="/word/theme/themeOverride16.xml" ContentType="application/vnd.openxmlformats-officedocument.themeOverride+xml"/>
  <Override PartName="/word/charts/chart19.xml" ContentType="application/vnd.openxmlformats-officedocument.drawingml.chart+xml"/>
  <Override PartName="/word/charts/style19.xml" ContentType="application/vnd.ms-office.chartstyle+xml"/>
  <Override PartName="/word/charts/colors19.xml" ContentType="application/vnd.ms-office.chartcolorstyle+xml"/>
  <Override PartName="/word/theme/themeOverride17.xml" ContentType="application/vnd.openxmlformats-officedocument.themeOverride+xml"/>
  <Override PartName="/word/charts/chart20.xml" ContentType="application/vnd.openxmlformats-officedocument.drawingml.chart+xml"/>
  <Override PartName="/word/charts/style20.xml" ContentType="application/vnd.ms-office.chartstyle+xml"/>
  <Override PartName="/word/charts/colors20.xml" ContentType="application/vnd.ms-office.chartcolorstyle+xml"/>
  <Override PartName="/word/theme/themeOverride18.xml" ContentType="application/vnd.openxmlformats-officedocument.themeOverride+xml"/>
  <Override PartName="/word/charts/chart21.xml" ContentType="application/vnd.openxmlformats-officedocument.drawingml.chart+xml"/>
  <Override PartName="/word/charts/style21.xml" ContentType="application/vnd.ms-office.chartstyle+xml"/>
  <Override PartName="/word/charts/colors21.xml" ContentType="application/vnd.ms-office.chartcolorstyle+xml"/>
  <Override PartName="/word/theme/themeOverride19.xml" ContentType="application/vnd.openxmlformats-officedocument.themeOverride+xml"/>
  <Override PartName="/word/charts/chart22.xml" ContentType="application/vnd.openxmlformats-officedocument.drawingml.chart+xml"/>
  <Override PartName="/word/charts/style22.xml" ContentType="application/vnd.ms-office.chartstyle+xml"/>
  <Override PartName="/word/charts/colors22.xml" ContentType="application/vnd.ms-office.chartcolorstyle+xml"/>
  <Override PartName="/word/theme/themeOverride20.xml" ContentType="application/vnd.openxmlformats-officedocument.themeOverride+xml"/>
  <Override PartName="/word/charts/chart23.xml" ContentType="application/vnd.openxmlformats-officedocument.drawingml.chart+xml"/>
  <Override PartName="/word/charts/style23.xml" ContentType="application/vnd.ms-office.chartstyle+xml"/>
  <Override PartName="/word/charts/colors23.xml" ContentType="application/vnd.ms-office.chartcolorstyle+xml"/>
  <Override PartName="/word/theme/themeOverride21.xml" ContentType="application/vnd.openxmlformats-officedocument.themeOverride+xml"/>
  <Override PartName="/word/charts/chart24.xml" ContentType="application/vnd.openxmlformats-officedocument.drawingml.chart+xml"/>
  <Override PartName="/word/charts/style24.xml" ContentType="application/vnd.ms-office.chartstyle+xml"/>
  <Override PartName="/word/charts/colors24.xml" ContentType="application/vnd.ms-office.chartcolorstyle+xml"/>
  <Override PartName="/word/theme/themeOverride22.xml" ContentType="application/vnd.openxmlformats-officedocument.themeOverride+xml"/>
  <Override PartName="/word/charts/chart25.xml" ContentType="application/vnd.openxmlformats-officedocument.drawingml.chart+xml"/>
  <Override PartName="/word/charts/style25.xml" ContentType="application/vnd.ms-office.chartstyle+xml"/>
  <Override PartName="/word/charts/colors25.xml" ContentType="application/vnd.ms-office.chartcolorstyle+xml"/>
  <Override PartName="/word/theme/themeOverride23.xml" ContentType="application/vnd.openxmlformats-officedocument.themeOverride+xml"/>
  <Override PartName="/word/charts/chart26.xml" ContentType="application/vnd.openxmlformats-officedocument.drawingml.chart+xml"/>
  <Override PartName="/word/charts/style26.xml" ContentType="application/vnd.ms-office.chartstyle+xml"/>
  <Override PartName="/word/charts/colors26.xml" ContentType="application/vnd.ms-office.chartcolorstyle+xml"/>
  <Override PartName="/word/theme/themeOverride24.xml" ContentType="application/vnd.openxmlformats-officedocument.themeOverride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87EA3" w:rsidRPr="00EC6FC0" w:rsidRDefault="00487EA3" w:rsidP="00EC6FC0">
      <w:pPr>
        <w:spacing w:after="0" w:line="240" w:lineRule="auto"/>
        <w:jc w:val="center"/>
        <w:rPr>
          <w:rFonts w:ascii="Times New Roman" w:hAnsi="Times New Roman" w:cs="Times New Roman"/>
          <w:b/>
          <w:sz w:val="32"/>
          <w:szCs w:val="32"/>
          <w:lang w:val="ru-RU"/>
        </w:rPr>
      </w:pPr>
      <w:r w:rsidRPr="00EC6FC0">
        <w:rPr>
          <w:rFonts w:ascii="Times New Roman" w:hAnsi="Times New Roman" w:cs="Times New Roman"/>
          <w:b/>
          <w:sz w:val="32"/>
          <w:szCs w:val="32"/>
        </w:rPr>
        <w:t xml:space="preserve">Резултати от проведено проучване на студентското мнение за качеството на обучение по дисциплина </w:t>
      </w:r>
      <w:r w:rsidR="004E7848" w:rsidRPr="00EC6FC0">
        <w:rPr>
          <w:rFonts w:ascii="Times New Roman" w:hAnsi="Times New Roman" w:cs="Times New Roman"/>
          <w:b/>
          <w:sz w:val="32"/>
          <w:szCs w:val="32"/>
          <w:lang w:val="ru-RU"/>
        </w:rPr>
        <w:t>“</w:t>
      </w:r>
      <w:r w:rsidR="00406B33" w:rsidRPr="00EC6FC0">
        <w:rPr>
          <w:rFonts w:ascii="Times New Roman" w:hAnsi="Times New Roman" w:cs="Times New Roman"/>
          <w:b/>
          <w:sz w:val="32"/>
          <w:szCs w:val="32"/>
        </w:rPr>
        <w:t>Социална фармация и фармацевтично законодателство</w:t>
      </w:r>
      <w:r w:rsidR="004E7848" w:rsidRPr="00EC6FC0">
        <w:rPr>
          <w:rFonts w:ascii="Times New Roman" w:hAnsi="Times New Roman" w:cs="Times New Roman"/>
          <w:b/>
          <w:sz w:val="32"/>
          <w:szCs w:val="32"/>
        </w:rPr>
        <w:t>“ в специалност „Фармация“</w:t>
      </w:r>
    </w:p>
    <w:p w:rsidR="00E91844" w:rsidRPr="00EC6FC0" w:rsidRDefault="00487EA3" w:rsidP="00E91844">
      <w:pPr>
        <w:spacing w:after="120" w:line="24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EC6FC0">
        <w:rPr>
          <w:rFonts w:ascii="Times New Roman" w:hAnsi="Times New Roman" w:cs="Times New Roman"/>
          <w:b/>
          <w:sz w:val="32"/>
          <w:szCs w:val="32"/>
        </w:rPr>
        <w:t>20</w:t>
      </w:r>
      <w:r w:rsidR="00BB2538" w:rsidRPr="00EC6FC0">
        <w:rPr>
          <w:rFonts w:ascii="Times New Roman" w:hAnsi="Times New Roman" w:cs="Times New Roman"/>
          <w:b/>
          <w:sz w:val="32"/>
          <w:szCs w:val="32"/>
        </w:rPr>
        <w:t>20</w:t>
      </w:r>
      <w:r w:rsidRPr="00EC6FC0">
        <w:rPr>
          <w:rFonts w:ascii="Times New Roman" w:hAnsi="Times New Roman" w:cs="Times New Roman"/>
          <w:b/>
          <w:sz w:val="32"/>
          <w:szCs w:val="32"/>
        </w:rPr>
        <w:t>/202</w:t>
      </w:r>
      <w:r w:rsidR="00BB2538" w:rsidRPr="00EC6FC0">
        <w:rPr>
          <w:rFonts w:ascii="Times New Roman" w:hAnsi="Times New Roman" w:cs="Times New Roman"/>
          <w:b/>
          <w:sz w:val="32"/>
          <w:szCs w:val="32"/>
        </w:rPr>
        <w:t>1</w:t>
      </w:r>
      <w:r w:rsidRPr="00EC6FC0">
        <w:rPr>
          <w:rFonts w:ascii="Times New Roman" w:hAnsi="Times New Roman" w:cs="Times New Roman"/>
          <w:b/>
          <w:sz w:val="32"/>
          <w:szCs w:val="32"/>
        </w:rPr>
        <w:t xml:space="preserve"> академична година</w:t>
      </w:r>
    </w:p>
    <w:p w:rsidR="0053100C" w:rsidRPr="00EC6FC0" w:rsidRDefault="00487EA3" w:rsidP="00E91844">
      <w:pPr>
        <w:spacing w:after="12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C6FC0">
        <w:rPr>
          <w:rFonts w:ascii="Times New Roman" w:hAnsi="Times New Roman" w:cs="Times New Roman"/>
          <w:b/>
          <w:sz w:val="28"/>
          <w:szCs w:val="28"/>
        </w:rPr>
        <w:t>Оценка на съдържание</w:t>
      </w:r>
      <w:bookmarkStart w:id="0" w:name="_GoBack"/>
      <w:bookmarkEnd w:id="0"/>
      <w:r w:rsidRPr="00EC6FC0">
        <w:rPr>
          <w:rFonts w:ascii="Times New Roman" w:hAnsi="Times New Roman" w:cs="Times New Roman"/>
          <w:b/>
          <w:sz w:val="28"/>
          <w:szCs w:val="28"/>
        </w:rPr>
        <w:t>то и представянето на лекциите</w:t>
      </w:r>
    </w:p>
    <w:p w:rsidR="00487EA3" w:rsidRDefault="00BB2538" w:rsidP="00E91844">
      <w:pPr>
        <w:spacing w:after="0"/>
        <w:jc w:val="both"/>
        <w:rPr>
          <w:rFonts w:ascii="Times New Roman" w:hAnsi="Times New Roman" w:cs="Times New Roman"/>
          <w:noProof/>
          <w:sz w:val="32"/>
          <w:szCs w:val="32"/>
          <w:lang w:val="en-US"/>
        </w:rPr>
      </w:pPr>
      <w:r>
        <w:rPr>
          <w:noProof/>
          <w:lang w:val="en-US"/>
        </w:rPr>
        <w:drawing>
          <wp:inline distT="0" distB="0" distL="0" distR="0" wp14:anchorId="1F43A20F" wp14:editId="027D57E9">
            <wp:extent cx="4105275" cy="2190750"/>
            <wp:effectExtent l="0" t="0" r="9525" b="0"/>
            <wp:docPr id="1" name="Chart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4"/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2AF337E0" wp14:editId="4FB343AC">
            <wp:extent cx="4257675" cy="2209800"/>
            <wp:effectExtent l="0" t="0" r="9525" b="0"/>
            <wp:docPr id="2" name="Chart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5"/>
              </a:graphicData>
            </a:graphic>
          </wp:inline>
        </w:drawing>
      </w:r>
      <w:r w:rsidR="007256B6">
        <w:rPr>
          <w:rFonts w:ascii="Times New Roman" w:hAnsi="Times New Roman" w:cs="Times New Roman"/>
          <w:noProof/>
          <w:sz w:val="32"/>
          <w:szCs w:val="32"/>
          <w:lang w:eastAsia="bg-BG"/>
        </w:rPr>
        <w:t xml:space="preserve">   </w:t>
      </w:r>
      <w:r w:rsidR="00406B33">
        <w:rPr>
          <w:rFonts w:ascii="Times New Roman" w:hAnsi="Times New Roman" w:cs="Times New Roman"/>
          <w:sz w:val="32"/>
          <w:szCs w:val="32"/>
        </w:rPr>
        <w:t xml:space="preserve"> </w:t>
      </w:r>
    </w:p>
    <w:p w:rsidR="00BB2538" w:rsidRDefault="00BB2538" w:rsidP="00E91844">
      <w:pPr>
        <w:spacing w:after="0"/>
        <w:jc w:val="both"/>
        <w:rPr>
          <w:rFonts w:ascii="Times New Roman" w:hAnsi="Times New Roman" w:cs="Times New Roman"/>
          <w:noProof/>
          <w:sz w:val="32"/>
          <w:szCs w:val="32"/>
          <w:lang w:eastAsia="bg-BG"/>
        </w:rPr>
      </w:pPr>
      <w:r>
        <w:rPr>
          <w:noProof/>
          <w:lang w:val="en-US"/>
        </w:rPr>
        <w:drawing>
          <wp:inline distT="0" distB="0" distL="0" distR="0" wp14:anchorId="51411F72" wp14:editId="65A5EE1B">
            <wp:extent cx="4095750" cy="2171700"/>
            <wp:effectExtent l="0" t="0" r="0" b="0"/>
            <wp:docPr id="3" name="Chart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6"/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5DB313BC" wp14:editId="07639C84">
            <wp:extent cx="4257675" cy="2162175"/>
            <wp:effectExtent l="0" t="0" r="9525" b="9525"/>
            <wp:docPr id="4" name="Chart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7"/>
              </a:graphicData>
            </a:graphic>
          </wp:inline>
        </w:drawing>
      </w:r>
    </w:p>
    <w:p w:rsidR="00406B33" w:rsidRDefault="00BB2538" w:rsidP="00487EA3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val="en-US"/>
        </w:rPr>
        <w:lastRenderedPageBreak/>
        <w:drawing>
          <wp:inline distT="0" distB="0" distL="0" distR="0" wp14:anchorId="4C0B4AE4" wp14:editId="0AA8B29C">
            <wp:extent cx="3981450" cy="2314575"/>
            <wp:effectExtent l="0" t="0" r="0" b="9525"/>
            <wp:docPr id="5" name="Chart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  <w:r w:rsidR="007256B6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noProof/>
          <w:lang w:val="en-US"/>
        </w:rPr>
        <w:drawing>
          <wp:inline distT="0" distB="0" distL="0" distR="0" wp14:anchorId="5F87AF23" wp14:editId="5F33F5EE">
            <wp:extent cx="4111625" cy="2314575"/>
            <wp:effectExtent l="0" t="0" r="3175" b="9525"/>
            <wp:docPr id="6" name="Chart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487EA3" w:rsidRDefault="007256B6" w:rsidP="00487EA3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</w:t>
      </w:r>
      <w:r w:rsidR="00BB2538">
        <w:rPr>
          <w:noProof/>
          <w:lang w:val="en-US"/>
        </w:rPr>
        <w:drawing>
          <wp:inline distT="0" distB="0" distL="0" distR="0" wp14:anchorId="1D17F9DC" wp14:editId="188B0361">
            <wp:extent cx="3943350" cy="2495550"/>
            <wp:effectExtent l="0" t="0" r="0" b="0"/>
            <wp:docPr id="7" name="Chart 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0"/>
              </a:graphicData>
            </a:graphic>
          </wp:inline>
        </w:drawing>
      </w:r>
      <w:r w:rsidR="00BB2538">
        <w:rPr>
          <w:rFonts w:ascii="Times New Roman" w:hAnsi="Times New Roman" w:cs="Times New Roman"/>
          <w:sz w:val="32"/>
          <w:szCs w:val="32"/>
        </w:rPr>
        <w:t xml:space="preserve"> </w:t>
      </w:r>
      <w:r w:rsidR="00BB2538">
        <w:rPr>
          <w:noProof/>
          <w:lang w:val="en-US"/>
        </w:rPr>
        <w:drawing>
          <wp:inline distT="0" distB="0" distL="0" distR="0" wp14:anchorId="48F3C310" wp14:editId="6E3118AA">
            <wp:extent cx="4133850" cy="2514600"/>
            <wp:effectExtent l="0" t="0" r="0" b="0"/>
            <wp:docPr id="10" name="Chart 1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1"/>
              </a:graphicData>
            </a:graphic>
          </wp:inline>
        </w:drawing>
      </w:r>
    </w:p>
    <w:p w:rsidR="007256B6" w:rsidRDefault="00FD6CCB" w:rsidP="00487EA3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val="en-US"/>
        </w:rPr>
        <w:lastRenderedPageBreak/>
        <w:drawing>
          <wp:inline distT="0" distB="0" distL="0" distR="0" wp14:anchorId="3A2A632A" wp14:editId="19D6944B">
            <wp:extent cx="4133850" cy="2228850"/>
            <wp:effectExtent l="0" t="0" r="0" b="0"/>
            <wp:docPr id="12" name="Chart 1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  <w:r w:rsidR="007256B6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noProof/>
          <w:lang w:val="en-US"/>
        </w:rPr>
        <w:drawing>
          <wp:inline distT="0" distB="0" distL="0" distR="0" wp14:anchorId="498228F1" wp14:editId="685724D7">
            <wp:extent cx="4352925" cy="2181225"/>
            <wp:effectExtent l="0" t="0" r="9525" b="9525"/>
            <wp:docPr id="14" name="Chart 1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3"/>
              </a:graphicData>
            </a:graphic>
          </wp:inline>
        </w:drawing>
      </w:r>
    </w:p>
    <w:p w:rsidR="007256B6" w:rsidRDefault="00FD6CCB" w:rsidP="00487EA3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val="en-US"/>
        </w:rPr>
        <w:drawing>
          <wp:inline distT="0" distB="0" distL="0" distR="0" wp14:anchorId="72419BC9" wp14:editId="26128315">
            <wp:extent cx="4143375" cy="2305050"/>
            <wp:effectExtent l="0" t="0" r="9525" b="0"/>
            <wp:docPr id="15" name="Chart 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4"/>
              </a:graphicData>
            </a:graphic>
          </wp:inline>
        </w:drawing>
      </w:r>
      <w:r w:rsidR="007256B6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noProof/>
          <w:lang w:val="en-US"/>
        </w:rPr>
        <w:drawing>
          <wp:inline distT="0" distB="0" distL="0" distR="0" wp14:anchorId="75B59425" wp14:editId="187B918E">
            <wp:extent cx="4343400" cy="2314575"/>
            <wp:effectExtent l="0" t="0" r="0" b="9525"/>
            <wp:docPr id="16" name="Chart 1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:rsidR="007256B6" w:rsidRDefault="007256B6" w:rsidP="00487EA3">
      <w:pPr>
        <w:jc w:val="both"/>
        <w:rPr>
          <w:rFonts w:ascii="Times New Roman" w:hAnsi="Times New Roman" w:cs="Times New Roman"/>
          <w:sz w:val="32"/>
          <w:szCs w:val="32"/>
        </w:rPr>
      </w:pPr>
    </w:p>
    <w:p w:rsidR="007256B6" w:rsidRDefault="007256B6" w:rsidP="00487EA3">
      <w:pPr>
        <w:jc w:val="both"/>
        <w:rPr>
          <w:rFonts w:ascii="Times New Roman" w:hAnsi="Times New Roman" w:cs="Times New Roman"/>
          <w:sz w:val="32"/>
          <w:szCs w:val="32"/>
        </w:rPr>
      </w:pPr>
    </w:p>
    <w:p w:rsidR="007256B6" w:rsidRDefault="007256B6" w:rsidP="00487EA3">
      <w:pPr>
        <w:jc w:val="both"/>
        <w:rPr>
          <w:rFonts w:ascii="Times New Roman" w:hAnsi="Times New Roman" w:cs="Times New Roman"/>
          <w:sz w:val="32"/>
          <w:szCs w:val="32"/>
        </w:rPr>
      </w:pPr>
    </w:p>
    <w:p w:rsidR="007256B6" w:rsidRDefault="00FD6CCB" w:rsidP="00487EA3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val="en-US"/>
        </w:rPr>
        <w:lastRenderedPageBreak/>
        <w:drawing>
          <wp:inline distT="0" distB="0" distL="0" distR="0" wp14:anchorId="5851BA0B" wp14:editId="0DE72C77">
            <wp:extent cx="4105275" cy="2305050"/>
            <wp:effectExtent l="0" t="0" r="9525" b="0"/>
            <wp:docPr id="17" name="Chart 1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  <w:r w:rsidR="007256B6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noProof/>
          <w:lang w:val="en-US"/>
        </w:rPr>
        <w:drawing>
          <wp:inline distT="0" distB="0" distL="0" distR="0" wp14:anchorId="708816FC" wp14:editId="435BAC38">
            <wp:extent cx="4276725" cy="2305050"/>
            <wp:effectExtent l="0" t="0" r="9525" b="0"/>
            <wp:docPr id="18" name="Chart 1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:rsidR="007256B6" w:rsidRDefault="002E3CF7" w:rsidP="00487EA3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val="en-US"/>
        </w:rPr>
        <w:drawing>
          <wp:inline distT="0" distB="0" distL="0" distR="0" wp14:anchorId="0764F3A7" wp14:editId="3631C16A">
            <wp:extent cx="4095750" cy="2371725"/>
            <wp:effectExtent l="0" t="0" r="0" b="9525"/>
            <wp:docPr id="19" name="Chart 1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  <w:r w:rsidR="007256B6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noProof/>
          <w:lang w:val="en-US"/>
        </w:rPr>
        <w:drawing>
          <wp:inline distT="0" distB="0" distL="0" distR="0" wp14:anchorId="63BD8888" wp14:editId="1FB71949">
            <wp:extent cx="4333875" cy="2381250"/>
            <wp:effectExtent l="0" t="0" r="9525" b="0"/>
            <wp:docPr id="20" name="Chart 20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:rsidR="007256B6" w:rsidRDefault="002E3CF7" w:rsidP="00487EA3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val="en-US"/>
        </w:rPr>
        <w:lastRenderedPageBreak/>
        <w:drawing>
          <wp:inline distT="0" distB="0" distL="0" distR="0" wp14:anchorId="7A39FC42" wp14:editId="241CD775">
            <wp:extent cx="4086225" cy="2314575"/>
            <wp:effectExtent l="0" t="0" r="9525" b="9525"/>
            <wp:docPr id="21" name="Chart 2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0"/>
              </a:graphicData>
            </a:graphic>
          </wp:inline>
        </w:drawing>
      </w:r>
      <w:r w:rsidR="007256B6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noProof/>
          <w:lang w:val="en-US"/>
        </w:rPr>
        <w:drawing>
          <wp:inline distT="0" distB="0" distL="0" distR="0" wp14:anchorId="6012C4AB" wp14:editId="37153F90">
            <wp:extent cx="4286250" cy="2314575"/>
            <wp:effectExtent l="0" t="0" r="0" b="9525"/>
            <wp:docPr id="22" name="Chart 2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1"/>
              </a:graphicData>
            </a:graphic>
          </wp:inline>
        </w:drawing>
      </w:r>
    </w:p>
    <w:p w:rsidR="007256B6" w:rsidRDefault="002E3CF7" w:rsidP="00487EA3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val="en-US"/>
        </w:rPr>
        <w:drawing>
          <wp:inline distT="0" distB="0" distL="0" distR="0" wp14:anchorId="0012C985" wp14:editId="33DF5699">
            <wp:extent cx="4105275" cy="2476500"/>
            <wp:effectExtent l="0" t="0" r="9525" b="0"/>
            <wp:docPr id="23" name="Chart 2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2"/>
              </a:graphicData>
            </a:graphic>
          </wp:inline>
        </w:drawing>
      </w:r>
      <w:r w:rsidR="007256B6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noProof/>
          <w:lang w:val="en-US"/>
        </w:rPr>
        <w:drawing>
          <wp:inline distT="0" distB="0" distL="0" distR="0" wp14:anchorId="4A69158E" wp14:editId="36068344">
            <wp:extent cx="4200525" cy="2438400"/>
            <wp:effectExtent l="0" t="0" r="9525" b="0"/>
            <wp:docPr id="24" name="Chart 2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3"/>
              </a:graphicData>
            </a:graphic>
          </wp:inline>
        </w:drawing>
      </w:r>
    </w:p>
    <w:p w:rsidR="007256B6" w:rsidRDefault="002E3CF7" w:rsidP="00487EA3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val="en-US"/>
        </w:rPr>
        <w:lastRenderedPageBreak/>
        <w:drawing>
          <wp:inline distT="0" distB="0" distL="0" distR="0" wp14:anchorId="10963940" wp14:editId="39E2EA9A">
            <wp:extent cx="4057650" cy="2314575"/>
            <wp:effectExtent l="0" t="0" r="0" b="9525"/>
            <wp:docPr id="25" name="Chart 2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4"/>
              </a:graphicData>
            </a:graphic>
          </wp:inline>
        </w:drawing>
      </w:r>
      <w:r w:rsidR="007256B6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noProof/>
          <w:lang w:val="en-US"/>
        </w:rPr>
        <w:drawing>
          <wp:inline distT="0" distB="0" distL="0" distR="0" wp14:anchorId="041D0EE8" wp14:editId="280CE1F4">
            <wp:extent cx="4181475" cy="2324100"/>
            <wp:effectExtent l="0" t="0" r="9525" b="0"/>
            <wp:docPr id="26" name="Chart 2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5"/>
              </a:graphicData>
            </a:graphic>
          </wp:inline>
        </w:drawing>
      </w:r>
    </w:p>
    <w:p w:rsidR="007256B6" w:rsidRDefault="002E3CF7" w:rsidP="00487EA3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noProof/>
          <w:lang w:val="en-US"/>
        </w:rPr>
        <w:drawing>
          <wp:inline distT="0" distB="0" distL="0" distR="0" wp14:anchorId="00937F68" wp14:editId="3EAB69D5">
            <wp:extent cx="4086225" cy="2409825"/>
            <wp:effectExtent l="0" t="0" r="9525" b="9525"/>
            <wp:docPr id="34" name="Chart 3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6"/>
              </a:graphicData>
            </a:graphic>
          </wp:inline>
        </w:drawing>
      </w:r>
      <w:r w:rsidR="007256B6">
        <w:rPr>
          <w:rFonts w:ascii="Times New Roman" w:hAnsi="Times New Roman" w:cs="Times New Roman"/>
          <w:sz w:val="32"/>
          <w:szCs w:val="32"/>
        </w:rPr>
        <w:t xml:space="preserve"> </w:t>
      </w:r>
      <w:r>
        <w:rPr>
          <w:noProof/>
          <w:lang w:val="en-US"/>
        </w:rPr>
        <w:drawing>
          <wp:inline distT="0" distB="0" distL="0" distR="0" wp14:anchorId="1CD14510" wp14:editId="4B13CD54">
            <wp:extent cx="4019550" cy="2409825"/>
            <wp:effectExtent l="0" t="0" r="0" b="9525"/>
            <wp:docPr id="36" name="Chart 3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7"/>
              </a:graphicData>
            </a:graphic>
          </wp:inline>
        </w:drawing>
      </w:r>
    </w:p>
    <w:p w:rsidR="004E7848" w:rsidRDefault="004E7848" w:rsidP="00487EA3">
      <w:pPr>
        <w:jc w:val="both"/>
        <w:rPr>
          <w:rFonts w:ascii="Times New Roman" w:hAnsi="Times New Roman" w:cs="Times New Roman"/>
          <w:sz w:val="32"/>
          <w:szCs w:val="32"/>
        </w:rPr>
      </w:pPr>
    </w:p>
    <w:p w:rsidR="007256B6" w:rsidRDefault="007256B6" w:rsidP="00487EA3">
      <w:pPr>
        <w:jc w:val="both"/>
        <w:rPr>
          <w:rFonts w:ascii="Times New Roman" w:hAnsi="Times New Roman" w:cs="Times New Roman"/>
          <w:sz w:val="32"/>
          <w:szCs w:val="32"/>
        </w:rPr>
      </w:pPr>
    </w:p>
    <w:p w:rsidR="00487EA3" w:rsidRPr="00DC3EB1" w:rsidRDefault="002E3CF7" w:rsidP="00487EA3">
      <w:pPr>
        <w:jc w:val="both"/>
        <w:rPr>
          <w:rFonts w:ascii="Times New Roman" w:hAnsi="Times New Roman" w:cs="Times New Roman"/>
          <w:sz w:val="32"/>
          <w:szCs w:val="32"/>
          <w:lang w:val="en-US"/>
        </w:rPr>
      </w:pPr>
      <w:r>
        <w:rPr>
          <w:noProof/>
          <w:lang w:val="en-US"/>
        </w:rPr>
        <w:lastRenderedPageBreak/>
        <w:drawing>
          <wp:inline distT="0" distB="0" distL="0" distR="0" wp14:anchorId="2CA62419" wp14:editId="798E6E40">
            <wp:extent cx="4324350" cy="2533650"/>
            <wp:effectExtent l="0" t="0" r="0" b="0"/>
            <wp:docPr id="38" name="Chart 38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8"/>
              </a:graphicData>
            </a:graphic>
          </wp:inline>
        </w:drawing>
      </w:r>
      <w:r w:rsidR="00487EA3">
        <w:rPr>
          <w:rFonts w:ascii="Times New Roman" w:hAnsi="Times New Roman" w:cs="Times New Roman"/>
          <w:sz w:val="32"/>
          <w:szCs w:val="32"/>
        </w:rPr>
        <w:t xml:space="preserve"> </w:t>
      </w:r>
      <w:r w:rsidR="00DC3EB1">
        <w:rPr>
          <w:rFonts w:ascii="Times New Roman" w:hAnsi="Times New Roman" w:cs="Times New Roman"/>
          <w:sz w:val="32"/>
          <w:szCs w:val="32"/>
          <w:lang w:val="en-US"/>
        </w:rPr>
        <w:t xml:space="preserve"> </w:t>
      </w:r>
      <w:r>
        <w:rPr>
          <w:noProof/>
          <w:lang w:val="en-US"/>
        </w:rPr>
        <w:drawing>
          <wp:inline distT="0" distB="0" distL="0" distR="0" wp14:anchorId="432A7E77" wp14:editId="21A5F8CC">
            <wp:extent cx="4305300" cy="2505075"/>
            <wp:effectExtent l="0" t="0" r="0" b="9525"/>
            <wp:docPr id="49" name="Chart 49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29"/>
              </a:graphicData>
            </a:graphic>
          </wp:inline>
        </w:drawing>
      </w:r>
    </w:p>
    <w:p w:rsidR="00487EA3" w:rsidRDefault="00487EA3" w:rsidP="00487EA3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</w:t>
      </w:r>
    </w:p>
    <w:p w:rsidR="00487EA3" w:rsidRPr="00487EA3" w:rsidRDefault="00487EA3" w:rsidP="00487EA3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 xml:space="preserve"> </w:t>
      </w:r>
    </w:p>
    <w:sectPr w:rsidR="00487EA3" w:rsidRPr="00487EA3" w:rsidSect="00406B33">
      <w:pgSz w:w="16838" w:h="11906" w:orient="landscape"/>
      <w:pgMar w:top="1418" w:right="1418" w:bottom="1418" w:left="1418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215E"/>
    <w:rsid w:val="000139EB"/>
    <w:rsid w:val="002E3CF7"/>
    <w:rsid w:val="003D5F50"/>
    <w:rsid w:val="00404370"/>
    <w:rsid w:val="00406B33"/>
    <w:rsid w:val="00487EA3"/>
    <w:rsid w:val="004E7848"/>
    <w:rsid w:val="007256B6"/>
    <w:rsid w:val="00971C22"/>
    <w:rsid w:val="00B1645C"/>
    <w:rsid w:val="00BB2538"/>
    <w:rsid w:val="00D464BD"/>
    <w:rsid w:val="00DC3EB1"/>
    <w:rsid w:val="00E91844"/>
    <w:rsid w:val="00EC6FC0"/>
    <w:rsid w:val="00FD215E"/>
    <w:rsid w:val="00FD6C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3E582A8A-0906-455D-94F1-2564E82086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5.xml"/><Relationship Id="rId13" Type="http://schemas.openxmlformats.org/officeDocument/2006/relationships/chart" Target="charts/chart10.xml"/><Relationship Id="rId18" Type="http://schemas.openxmlformats.org/officeDocument/2006/relationships/chart" Target="charts/chart15.xml"/><Relationship Id="rId26" Type="http://schemas.openxmlformats.org/officeDocument/2006/relationships/chart" Target="charts/chart23.xml"/><Relationship Id="rId3" Type="http://schemas.openxmlformats.org/officeDocument/2006/relationships/webSettings" Target="webSettings.xml"/><Relationship Id="rId21" Type="http://schemas.openxmlformats.org/officeDocument/2006/relationships/chart" Target="charts/chart18.xml"/><Relationship Id="rId7" Type="http://schemas.openxmlformats.org/officeDocument/2006/relationships/chart" Target="charts/chart4.xml"/><Relationship Id="rId12" Type="http://schemas.openxmlformats.org/officeDocument/2006/relationships/chart" Target="charts/chart9.xml"/><Relationship Id="rId17" Type="http://schemas.openxmlformats.org/officeDocument/2006/relationships/chart" Target="charts/chart14.xml"/><Relationship Id="rId25" Type="http://schemas.openxmlformats.org/officeDocument/2006/relationships/chart" Target="charts/chart22.xml"/><Relationship Id="rId2" Type="http://schemas.openxmlformats.org/officeDocument/2006/relationships/settings" Target="settings.xml"/><Relationship Id="rId16" Type="http://schemas.openxmlformats.org/officeDocument/2006/relationships/chart" Target="charts/chart13.xml"/><Relationship Id="rId20" Type="http://schemas.openxmlformats.org/officeDocument/2006/relationships/chart" Target="charts/chart17.xml"/><Relationship Id="rId29" Type="http://schemas.openxmlformats.org/officeDocument/2006/relationships/chart" Target="charts/chart26.xml"/><Relationship Id="rId1" Type="http://schemas.openxmlformats.org/officeDocument/2006/relationships/styles" Target="styles.xml"/><Relationship Id="rId6" Type="http://schemas.openxmlformats.org/officeDocument/2006/relationships/chart" Target="charts/chart3.xml"/><Relationship Id="rId11" Type="http://schemas.openxmlformats.org/officeDocument/2006/relationships/chart" Target="charts/chart8.xml"/><Relationship Id="rId24" Type="http://schemas.openxmlformats.org/officeDocument/2006/relationships/chart" Target="charts/chart21.xml"/><Relationship Id="rId5" Type="http://schemas.openxmlformats.org/officeDocument/2006/relationships/chart" Target="charts/chart2.xml"/><Relationship Id="rId15" Type="http://schemas.openxmlformats.org/officeDocument/2006/relationships/chart" Target="charts/chart12.xml"/><Relationship Id="rId23" Type="http://schemas.openxmlformats.org/officeDocument/2006/relationships/chart" Target="charts/chart20.xml"/><Relationship Id="rId28" Type="http://schemas.openxmlformats.org/officeDocument/2006/relationships/chart" Target="charts/chart25.xml"/><Relationship Id="rId10" Type="http://schemas.openxmlformats.org/officeDocument/2006/relationships/chart" Target="charts/chart7.xml"/><Relationship Id="rId19" Type="http://schemas.openxmlformats.org/officeDocument/2006/relationships/chart" Target="charts/chart16.xml"/><Relationship Id="rId31" Type="http://schemas.openxmlformats.org/officeDocument/2006/relationships/theme" Target="theme/theme1.xml"/><Relationship Id="rId4" Type="http://schemas.openxmlformats.org/officeDocument/2006/relationships/chart" Target="charts/chart1.xml"/><Relationship Id="rId9" Type="http://schemas.openxmlformats.org/officeDocument/2006/relationships/chart" Target="charts/chart6.xml"/><Relationship Id="rId14" Type="http://schemas.openxmlformats.org/officeDocument/2006/relationships/chart" Target="charts/chart11.xml"/><Relationship Id="rId22" Type="http://schemas.openxmlformats.org/officeDocument/2006/relationships/chart" Target="charts/chart19.xml"/><Relationship Id="rId27" Type="http://schemas.openxmlformats.org/officeDocument/2006/relationships/chart" Target="charts/chart24.xml"/><Relationship Id="rId30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package" Target="../embeddings/Microsoft_Excel_Worksheet1.xlsx"/></Relationships>
</file>

<file path=word/charts/_rels/chart10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8.xml"/><Relationship Id="rId2" Type="http://schemas.microsoft.com/office/2011/relationships/chartColorStyle" Target="colors10.xml"/><Relationship Id="rId1" Type="http://schemas.microsoft.com/office/2011/relationships/chartStyle" Target="style10.xml"/><Relationship Id="rId4" Type="http://schemas.openxmlformats.org/officeDocument/2006/relationships/package" Target="../embeddings/Microsoft_Excel_Worksheet8.xlsx"/></Relationships>
</file>

<file path=word/charts/_rels/chart1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9.xml"/><Relationship Id="rId2" Type="http://schemas.microsoft.com/office/2011/relationships/chartColorStyle" Target="colors11.xml"/><Relationship Id="rId1" Type="http://schemas.microsoft.com/office/2011/relationships/chartStyle" Target="style11.xml"/><Relationship Id="rId4" Type="http://schemas.openxmlformats.org/officeDocument/2006/relationships/package" Target="../embeddings/Microsoft_Excel_Worksheet9.xlsx"/></Relationships>
</file>

<file path=word/charts/_rels/chart1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0.xml"/><Relationship Id="rId2" Type="http://schemas.microsoft.com/office/2011/relationships/chartColorStyle" Target="colors12.xml"/><Relationship Id="rId1" Type="http://schemas.microsoft.com/office/2011/relationships/chartStyle" Target="style12.xml"/><Relationship Id="rId4" Type="http://schemas.openxmlformats.org/officeDocument/2006/relationships/package" Target="../embeddings/Microsoft_Excel_Worksheet10.xlsx"/></Relationships>
</file>

<file path=word/charts/_rels/chart1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1.xml"/><Relationship Id="rId2" Type="http://schemas.microsoft.com/office/2011/relationships/chartColorStyle" Target="colors13.xml"/><Relationship Id="rId1" Type="http://schemas.microsoft.com/office/2011/relationships/chartStyle" Target="style13.xml"/><Relationship Id="rId4" Type="http://schemas.openxmlformats.org/officeDocument/2006/relationships/package" Target="../embeddings/Microsoft_Excel_Worksheet11.xlsx"/></Relationships>
</file>

<file path=word/charts/_rels/chart14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2.xml"/><Relationship Id="rId2" Type="http://schemas.microsoft.com/office/2011/relationships/chartColorStyle" Target="colors14.xml"/><Relationship Id="rId1" Type="http://schemas.microsoft.com/office/2011/relationships/chartStyle" Target="style14.xml"/><Relationship Id="rId4" Type="http://schemas.openxmlformats.org/officeDocument/2006/relationships/package" Target="../embeddings/Microsoft_Excel_Worksheet12.xlsx"/></Relationships>
</file>

<file path=word/charts/_rels/chart15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3.xml"/><Relationship Id="rId2" Type="http://schemas.microsoft.com/office/2011/relationships/chartColorStyle" Target="colors15.xml"/><Relationship Id="rId1" Type="http://schemas.microsoft.com/office/2011/relationships/chartStyle" Target="style15.xml"/><Relationship Id="rId4" Type="http://schemas.openxmlformats.org/officeDocument/2006/relationships/package" Target="../embeddings/Microsoft_Excel_Worksheet13.xlsx"/></Relationships>
</file>

<file path=word/charts/_rels/chart16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4.xml"/><Relationship Id="rId2" Type="http://schemas.microsoft.com/office/2011/relationships/chartColorStyle" Target="colors16.xml"/><Relationship Id="rId1" Type="http://schemas.microsoft.com/office/2011/relationships/chartStyle" Target="style16.xml"/><Relationship Id="rId4" Type="http://schemas.openxmlformats.org/officeDocument/2006/relationships/package" Target="../embeddings/Microsoft_Excel_Worksheet14.xlsx"/></Relationships>
</file>

<file path=word/charts/_rels/chart17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5.xml"/><Relationship Id="rId2" Type="http://schemas.microsoft.com/office/2011/relationships/chartColorStyle" Target="colors17.xml"/><Relationship Id="rId1" Type="http://schemas.microsoft.com/office/2011/relationships/chartStyle" Target="style17.xml"/><Relationship Id="rId4" Type="http://schemas.openxmlformats.org/officeDocument/2006/relationships/package" Target="../embeddings/Microsoft_Excel_Worksheet15.xlsx"/></Relationships>
</file>

<file path=word/charts/_rels/chart18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6.xml"/><Relationship Id="rId2" Type="http://schemas.microsoft.com/office/2011/relationships/chartColorStyle" Target="colors18.xml"/><Relationship Id="rId1" Type="http://schemas.microsoft.com/office/2011/relationships/chartStyle" Target="style18.xml"/><Relationship Id="rId4" Type="http://schemas.openxmlformats.org/officeDocument/2006/relationships/package" Target="../embeddings/Microsoft_Excel_Worksheet16.xlsx"/></Relationships>
</file>

<file path=word/charts/_rels/chart19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7.xml"/><Relationship Id="rId2" Type="http://schemas.microsoft.com/office/2011/relationships/chartColorStyle" Target="colors19.xml"/><Relationship Id="rId1" Type="http://schemas.microsoft.com/office/2011/relationships/chartStyle" Target="style19.xml"/><Relationship Id="rId4" Type="http://schemas.openxmlformats.org/officeDocument/2006/relationships/package" Target="../embeddings/Microsoft_Excel_Worksheet17.xlsx"/></Relationships>
</file>

<file path=word/charts/_rels/chart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.xml"/><Relationship Id="rId2" Type="http://schemas.microsoft.com/office/2011/relationships/chartColorStyle" Target="colors2.xml"/><Relationship Id="rId1" Type="http://schemas.microsoft.com/office/2011/relationships/chartStyle" Target="style2.xml"/><Relationship Id="rId4" Type="http://schemas.openxmlformats.org/officeDocument/2006/relationships/package" Target="../embeddings/Microsoft_Excel_Worksheet2.xlsx"/></Relationships>
</file>

<file path=word/charts/_rels/chart20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8.xml"/><Relationship Id="rId2" Type="http://schemas.microsoft.com/office/2011/relationships/chartColorStyle" Target="colors20.xml"/><Relationship Id="rId1" Type="http://schemas.microsoft.com/office/2011/relationships/chartStyle" Target="style20.xml"/><Relationship Id="rId4" Type="http://schemas.openxmlformats.org/officeDocument/2006/relationships/package" Target="../embeddings/Microsoft_Excel_Worksheet18.xlsx"/></Relationships>
</file>

<file path=word/charts/_rels/chart2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9.xml"/><Relationship Id="rId2" Type="http://schemas.microsoft.com/office/2011/relationships/chartColorStyle" Target="colors21.xml"/><Relationship Id="rId1" Type="http://schemas.microsoft.com/office/2011/relationships/chartStyle" Target="style21.xml"/><Relationship Id="rId4" Type="http://schemas.openxmlformats.org/officeDocument/2006/relationships/package" Target="../embeddings/Microsoft_Excel_Worksheet19.xlsx"/></Relationships>
</file>

<file path=word/charts/_rels/chart22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0.xml"/><Relationship Id="rId2" Type="http://schemas.microsoft.com/office/2011/relationships/chartColorStyle" Target="colors22.xml"/><Relationship Id="rId1" Type="http://schemas.microsoft.com/office/2011/relationships/chartStyle" Target="style22.xml"/><Relationship Id="rId4" Type="http://schemas.openxmlformats.org/officeDocument/2006/relationships/package" Target="../embeddings/Microsoft_Excel_Worksheet20.xlsx"/></Relationships>
</file>

<file path=word/charts/_rels/chart2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1.xml"/><Relationship Id="rId2" Type="http://schemas.microsoft.com/office/2011/relationships/chartColorStyle" Target="colors23.xml"/><Relationship Id="rId1" Type="http://schemas.microsoft.com/office/2011/relationships/chartStyle" Target="style23.xml"/><Relationship Id="rId4" Type="http://schemas.openxmlformats.org/officeDocument/2006/relationships/package" Target="../embeddings/Microsoft_Excel_Worksheet21.xlsx"/></Relationships>
</file>

<file path=word/charts/_rels/chart24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2.xml"/><Relationship Id="rId2" Type="http://schemas.microsoft.com/office/2011/relationships/chartColorStyle" Target="colors24.xml"/><Relationship Id="rId1" Type="http://schemas.microsoft.com/office/2011/relationships/chartStyle" Target="style24.xml"/><Relationship Id="rId4" Type="http://schemas.openxmlformats.org/officeDocument/2006/relationships/package" Target="../embeddings/Microsoft_Excel_Worksheet22.xlsx"/></Relationships>
</file>

<file path=word/charts/_rels/chart25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3.xml"/><Relationship Id="rId2" Type="http://schemas.microsoft.com/office/2011/relationships/chartColorStyle" Target="colors25.xml"/><Relationship Id="rId1" Type="http://schemas.microsoft.com/office/2011/relationships/chartStyle" Target="style25.xml"/><Relationship Id="rId4" Type="http://schemas.openxmlformats.org/officeDocument/2006/relationships/package" Target="../embeddings/Microsoft_Excel_Worksheet23.xlsx"/></Relationships>
</file>

<file path=word/charts/_rels/chart26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24.xml"/><Relationship Id="rId2" Type="http://schemas.microsoft.com/office/2011/relationships/chartColorStyle" Target="colors26.xml"/><Relationship Id="rId1" Type="http://schemas.microsoft.com/office/2011/relationships/chartStyle" Target="style26.xml"/><Relationship Id="rId4" Type="http://schemas.openxmlformats.org/officeDocument/2006/relationships/package" Target="../embeddings/Microsoft_Excel_Worksheet24.xlsx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.xml"/><Relationship Id="rId2" Type="http://schemas.microsoft.com/office/2011/relationships/chartColorStyle" Target="colors3.xml"/><Relationship Id="rId1" Type="http://schemas.microsoft.com/office/2011/relationships/chartStyle" Target="style3.xml"/><Relationship Id="rId4" Type="http://schemas.openxmlformats.org/officeDocument/2006/relationships/package" Target="../embeddings/Microsoft_Excel_Worksheet3.xlsx"/></Relationships>
</file>

<file path=word/charts/_rels/chart4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4.xml"/><Relationship Id="rId2" Type="http://schemas.microsoft.com/office/2011/relationships/chartColorStyle" Target="colors4.xml"/><Relationship Id="rId1" Type="http://schemas.microsoft.com/office/2011/relationships/chartStyle" Target="style4.xml"/><Relationship Id="rId4" Type="http://schemas.openxmlformats.org/officeDocument/2006/relationships/package" Target="../embeddings/Microsoft_Excel_Worksheet4.xlsx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5.xml"/><Relationship Id="rId2" Type="http://schemas.microsoft.com/office/2011/relationships/chartColorStyle" Target="colors5.xml"/><Relationship Id="rId1" Type="http://schemas.microsoft.com/office/2011/relationships/chartStyle" Target="style5.xml"/><Relationship Id="rId4" Type="http://schemas.openxmlformats.org/officeDocument/2006/relationships/package" Target="../embeddings/Microsoft_Excel_Worksheet5.xlsx"/></Relationships>
</file>

<file path=word/charts/_rels/chart6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Galina.Petrova\Desktop\&#1040;&#1085;&#1082;&#1077;&#1090;&#1072;%20&#1057;&#1060;&#1060;&#1047;%20%202020-21%20&#1075;.%20&#1083;&#1077;&#1090;&#1077;&#1085;%20&#1089;&#1077;&#1084;..xlsx" TargetMode="External"/><Relationship Id="rId2" Type="http://schemas.microsoft.com/office/2011/relationships/chartColorStyle" Target="colors6.xml"/><Relationship Id="rId1" Type="http://schemas.microsoft.com/office/2011/relationships/chartStyle" Target="style6.xml"/></Relationships>
</file>

<file path=word/charts/_rels/chart7.xml.rels><?xml version="1.0" encoding="UTF-8" standalone="yes"?>
<Relationships xmlns="http://schemas.openxmlformats.org/package/2006/relationships"><Relationship Id="rId3" Type="http://schemas.openxmlformats.org/officeDocument/2006/relationships/oleObject" Target="file:///C:\Users\Galina.Petrova\Desktop\&#1040;&#1085;&#1082;&#1077;&#1090;&#1072;%20&#1057;&#1060;&#1060;&#1047;%20%202020-21%20&#1075;.%20&#1083;&#1077;&#1090;&#1077;&#1085;%20&#1089;&#1077;&#1084;..xlsx" TargetMode="External"/><Relationship Id="rId2" Type="http://schemas.microsoft.com/office/2011/relationships/chartColorStyle" Target="colors7.xml"/><Relationship Id="rId1" Type="http://schemas.microsoft.com/office/2011/relationships/chartStyle" Target="style7.xml"/></Relationships>
</file>

<file path=word/charts/_rels/chart8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6.xml"/><Relationship Id="rId2" Type="http://schemas.microsoft.com/office/2011/relationships/chartColorStyle" Target="colors8.xml"/><Relationship Id="rId1" Type="http://schemas.microsoft.com/office/2011/relationships/chartStyle" Target="style8.xml"/><Relationship Id="rId4" Type="http://schemas.openxmlformats.org/officeDocument/2006/relationships/package" Target="../embeddings/Microsoft_Excel_Worksheet6.xlsx"/></Relationships>
</file>

<file path=word/charts/_rels/chart9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7.xml"/><Relationship Id="rId2" Type="http://schemas.microsoft.com/office/2011/relationships/chartColorStyle" Target="colors9.xml"/><Relationship Id="rId1" Type="http://schemas.microsoft.com/office/2011/relationships/chartStyle" Target="style9.xml"/><Relationship Id="rId4" Type="http://schemas.openxmlformats.org/officeDocument/2006/relationships/package" Target="../embeddings/Microsoft_Excel_Worksheet7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2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Съдържание на </a:t>
            </a:r>
            <a:r>
              <a:rPr lang="bg-BG" sz="1200" baseline="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дисциплината "Социална фармация и фармацевтично законодателство"</a:t>
            </a:r>
            <a:endParaRPr lang="en-US" sz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layout>
        <c:manualLayout>
          <c:xMode val="edge"/>
          <c:yMode val="edge"/>
          <c:x val="0.11088188976377952"/>
          <c:y val="1.3888888888888888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5.2475019569922184E-2"/>
          <c:y val="0.22934603762764952"/>
          <c:w val="0.90694444444444444"/>
          <c:h val="0.54576115485564303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3"/>
            <c:bubble3D val="0"/>
            <c:spPr>
              <a:solidFill>
                <a:schemeClr val="accent4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Лист1!$H$8:$H$11</c:f>
              <c:strCache>
                <c:ptCount val="4"/>
                <c:pt idx="0">
                  <c:v>много сложно</c:v>
                </c:pt>
                <c:pt idx="1">
                  <c:v>по-скоро сложно</c:v>
                </c:pt>
                <c:pt idx="2">
                  <c:v>не е сложно</c:v>
                </c:pt>
                <c:pt idx="3">
                  <c:v>твърде елементарно</c:v>
                </c:pt>
              </c:strCache>
            </c:strRef>
          </c:cat>
          <c:val>
            <c:numRef>
              <c:f>Лист1!$I$8:$I$11</c:f>
              <c:numCache>
                <c:formatCode>0.00%</c:formatCode>
                <c:ptCount val="4"/>
                <c:pt idx="0" formatCode="0%">
                  <c:v>0</c:v>
                </c:pt>
                <c:pt idx="1">
                  <c:v>3.7699999999999997E-2</c:v>
                </c:pt>
                <c:pt idx="2">
                  <c:v>0.50939999999999996</c:v>
                </c:pt>
                <c:pt idx="3">
                  <c:v>0.45290000000000002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1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2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Обясненията на преподавателя</a:t>
            </a:r>
            <a:endParaRPr lang="en-US" sz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Лист1!$I$120:$I$122</c:f>
              <c:strCache>
                <c:ptCount val="3"/>
                <c:pt idx="0">
                  <c:v>напълно ясни</c:v>
                </c:pt>
                <c:pt idx="1">
                  <c:v>не много ясни</c:v>
                </c:pt>
                <c:pt idx="2">
                  <c:v>объркани</c:v>
                </c:pt>
              </c:strCache>
            </c:strRef>
          </c:cat>
          <c:val>
            <c:numRef>
              <c:f>Лист1!$J$120:$J$122</c:f>
              <c:numCache>
                <c:formatCode>0.00%</c:formatCode>
                <c:ptCount val="3"/>
                <c:pt idx="0">
                  <c:v>0.92449999999999999</c:v>
                </c:pt>
                <c:pt idx="1">
                  <c:v>7.5499999999999998E-2</c:v>
                </c:pt>
                <c:pt idx="2" formatCode="0%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1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2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Какво би направило лекциите по-полезни и по-интересни?</a:t>
            </a:r>
            <a:endParaRPr lang="en-US" sz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0"/>
          <c:y val="0.25034337649942517"/>
          <c:w val="1"/>
          <c:h val="0.51087264918331488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Лист1!$G$130:$G$132</c:f>
              <c:strCache>
                <c:ptCount val="3"/>
                <c:pt idx="0">
                  <c:v>включване на повече приложни примери и задачи</c:v>
                </c:pt>
                <c:pt idx="1">
                  <c:v>включване на тестови задачи</c:v>
                </c:pt>
                <c:pt idx="2">
                  <c:v>повече теоретични въпроси, свързани с материала</c:v>
                </c:pt>
              </c:strCache>
            </c:strRef>
          </c:cat>
          <c:val>
            <c:numRef>
              <c:f>Лист1!$H$130:$H$132</c:f>
              <c:numCache>
                <c:formatCode>0.00%</c:formatCode>
                <c:ptCount val="3"/>
                <c:pt idx="0">
                  <c:v>0.71699999999999997</c:v>
                </c:pt>
                <c:pt idx="1">
                  <c:v>0.28299999999999997</c:v>
                </c:pt>
                <c:pt idx="2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4.7545005779387056E-2"/>
          <c:y val="0.74930044901412118"/>
          <c:w val="0.76865694707869547"/>
          <c:h val="0.2506995509858788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800" b="0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1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2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Степен</a:t>
            </a:r>
            <a:r>
              <a:rPr lang="bg-BG" sz="1200" baseline="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 на приемане на твърденията</a:t>
            </a:r>
            <a:endParaRPr lang="en-US" sz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Sheet1!$I$11</c:f>
              <c:strCache>
                <c:ptCount val="1"/>
                <c:pt idx="0">
                  <c:v>по-скоро не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Sheet1!$J$10:$M$10</c:f>
              <c:strCache>
                <c:ptCount val="4"/>
                <c:pt idx="0">
                  <c:v>Г) преподавателят е достъпен и отзивчив за контакти със студентите и извън часовете </c:v>
                </c:pt>
                <c:pt idx="1">
                  <c:v>В) преподавателят е толерантени умее да установява и поддържа контакт с аудиторията</c:v>
                </c:pt>
                <c:pt idx="2">
                  <c:v>Б) преподавателят е добре подготвен и има педагогически опит</c:v>
                </c:pt>
                <c:pt idx="3">
                  <c:v>А) преподаването е на академично равнище</c:v>
                </c:pt>
              </c:strCache>
            </c:strRef>
          </c:cat>
          <c:val>
            <c:numRef>
              <c:f>Sheet1!$J$11:$M$11</c:f>
              <c:numCache>
                <c:formatCode>0%</c:formatCode>
                <c:ptCount val="4"/>
                <c:pt idx="0" formatCode="0.00%">
                  <c:v>1.89E-2</c:v>
                </c:pt>
                <c:pt idx="1">
                  <c:v>0</c:v>
                </c:pt>
                <c:pt idx="2">
                  <c:v>0</c:v>
                </c:pt>
                <c:pt idx="3">
                  <c:v>0</c:v>
                </c:pt>
              </c:numCache>
            </c:numRef>
          </c:val>
        </c:ser>
        <c:ser>
          <c:idx val="1"/>
          <c:order val="1"/>
          <c:tx>
            <c:strRef>
              <c:f>Sheet1!$I$12</c:f>
              <c:strCache>
                <c:ptCount val="1"/>
                <c:pt idx="0">
                  <c:v>по-скоро да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Sheet1!$J$10:$M$10</c:f>
              <c:strCache>
                <c:ptCount val="4"/>
                <c:pt idx="0">
                  <c:v>Г) преподавателят е достъпен и отзивчив за контакти със студентите и извън часовете </c:v>
                </c:pt>
                <c:pt idx="1">
                  <c:v>В) преподавателят е толерантени умее да установява и поддържа контакт с аудиторията</c:v>
                </c:pt>
                <c:pt idx="2">
                  <c:v>Б) преподавателят е добре подготвен и има педагогически опит</c:v>
                </c:pt>
                <c:pt idx="3">
                  <c:v>А) преподаването е на академично равнище</c:v>
                </c:pt>
              </c:strCache>
            </c:strRef>
          </c:cat>
          <c:val>
            <c:numRef>
              <c:f>Sheet1!$J$12:$M$12</c:f>
              <c:numCache>
                <c:formatCode>0.00%</c:formatCode>
                <c:ptCount val="4"/>
                <c:pt idx="0">
                  <c:v>0.1132</c:v>
                </c:pt>
                <c:pt idx="1">
                  <c:v>0.1321</c:v>
                </c:pt>
                <c:pt idx="2">
                  <c:v>7.5499999999999998E-2</c:v>
                </c:pt>
                <c:pt idx="3">
                  <c:v>0.18870000000000001</c:v>
                </c:pt>
              </c:numCache>
            </c:numRef>
          </c:val>
        </c:ser>
        <c:ser>
          <c:idx val="2"/>
          <c:order val="2"/>
          <c:tx>
            <c:strRef>
              <c:f>Sheet1!$I$13</c:f>
              <c:strCache>
                <c:ptCount val="1"/>
                <c:pt idx="0">
                  <c:v>да</c:v>
                </c:pt>
              </c:strCache>
            </c:strRef>
          </c:tx>
          <c:spPr>
            <a:solidFill>
              <a:schemeClr val="accent3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8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Sheet1!$J$10:$M$10</c:f>
              <c:strCache>
                <c:ptCount val="4"/>
                <c:pt idx="0">
                  <c:v>Г) преподавателят е достъпен и отзивчив за контакти със студентите и извън часовете </c:v>
                </c:pt>
                <c:pt idx="1">
                  <c:v>В) преподавателят е толерантени умее да установява и поддържа контакт с аудиторията</c:v>
                </c:pt>
                <c:pt idx="2">
                  <c:v>Б) преподавателят е добре подготвен и има педагогически опит</c:v>
                </c:pt>
                <c:pt idx="3">
                  <c:v>А) преподаването е на академично равнище</c:v>
                </c:pt>
              </c:strCache>
            </c:strRef>
          </c:cat>
          <c:val>
            <c:numRef>
              <c:f>Sheet1!$J$13:$M$13</c:f>
              <c:numCache>
                <c:formatCode>0.00%</c:formatCode>
                <c:ptCount val="4"/>
                <c:pt idx="0">
                  <c:v>0.8679</c:v>
                </c:pt>
                <c:pt idx="1">
                  <c:v>0.8679</c:v>
                </c:pt>
                <c:pt idx="2">
                  <c:v>0.92449999999999999</c:v>
                </c:pt>
                <c:pt idx="3">
                  <c:v>0.81130000000000002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864555728"/>
        <c:axId val="703945496"/>
      </c:barChart>
      <c:catAx>
        <c:axId val="864555728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03945496"/>
        <c:crosses val="autoZero"/>
        <c:auto val="1"/>
        <c:lblAlgn val="ctr"/>
        <c:lblOffset val="100"/>
        <c:noMultiLvlLbl val="0"/>
      </c:catAx>
      <c:valAx>
        <c:axId val="703945496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864555728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1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2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Отделяно извънучебно</a:t>
            </a:r>
            <a:r>
              <a:rPr lang="bg-BG" sz="1200" baseline="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 време за усвояване на преподадения материал и подготовка за упражнения</a:t>
            </a:r>
            <a:endParaRPr lang="en-US" sz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layout>
        <c:manualLayout>
          <c:xMode val="edge"/>
          <c:yMode val="edge"/>
          <c:x val="0.11948600174978127"/>
          <c:y val="1.3888888888888888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9.3055641826674224E-2"/>
          <c:y val="0.3249278757510683"/>
          <c:w val="0.88888888888888884"/>
          <c:h val="0.5831452318460193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Sheet1!$H$49:$H$51</c:f>
              <c:strCache>
                <c:ptCount val="3"/>
                <c:pt idx="0">
                  <c:v>под 5 часа</c:v>
                </c:pt>
                <c:pt idx="1">
                  <c:v>5-7 часа</c:v>
                </c:pt>
                <c:pt idx="2">
                  <c:v>над 7 часа</c:v>
                </c:pt>
              </c:strCache>
            </c:strRef>
          </c:cat>
          <c:val>
            <c:numRef>
              <c:f>Sheet1!$I$49:$I$51</c:f>
              <c:numCache>
                <c:formatCode>0.00%</c:formatCode>
                <c:ptCount val="3"/>
                <c:pt idx="0">
                  <c:v>0.77359999999999995</c:v>
                </c:pt>
                <c:pt idx="1">
                  <c:v>0.20749999999999999</c:v>
                </c:pt>
                <c:pt idx="2">
                  <c:v>1.89E-2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24750570911814673"/>
          <c:y val="0.90702414264332654"/>
          <c:w val="0.51736290504290217"/>
          <c:h val="9.2975857356673394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1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2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Оценка на броя на упражненията,</a:t>
            </a:r>
            <a:r>
              <a:rPr lang="bg-BG" sz="1200" baseline="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 включени в обучението</a:t>
            </a:r>
            <a:endParaRPr lang="en-US" sz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8.6256422846921421E-2"/>
          <c:y val="0.27673022277174031"/>
          <c:w val="0.91374357715307863"/>
          <c:h val="0.55521658966182941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Sheet1!$I$63:$I$65</c:f>
              <c:strCache>
                <c:ptCount val="3"/>
                <c:pt idx="0">
                  <c:v>малко на брой</c:v>
                </c:pt>
                <c:pt idx="1">
                  <c:v>достатъчно на брой</c:v>
                </c:pt>
                <c:pt idx="2">
                  <c:v>прекалено много</c:v>
                </c:pt>
              </c:strCache>
            </c:strRef>
          </c:cat>
          <c:val>
            <c:numRef>
              <c:f>Sheet1!$J$63:$J$65</c:f>
              <c:numCache>
                <c:formatCode>0%</c:formatCode>
                <c:ptCount val="3"/>
                <c:pt idx="0" formatCode="0.00%">
                  <c:v>7.5499999999999998E-2</c:v>
                </c:pt>
                <c:pt idx="1">
                  <c:v>0.92449999999999999</c:v>
                </c:pt>
                <c:pt idx="2" formatCode="0.00%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1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2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Оценка на съдържанието на упражненията, включени в обучението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7.8448806339398963E-2"/>
          <c:y val="0.28677186436032848"/>
          <c:w val="0.90241243767973978"/>
          <c:h val="0.55349713815893498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Sheet1!$H$76:$H$78</c:f>
              <c:strCache>
                <c:ptCount val="3"/>
                <c:pt idx="0">
                  <c:v>много сложно </c:v>
                </c:pt>
                <c:pt idx="1">
                  <c:v>по-скоро сложо</c:v>
                </c:pt>
                <c:pt idx="2">
                  <c:v>не е сложно</c:v>
                </c:pt>
              </c:strCache>
            </c:strRef>
          </c:cat>
          <c:val>
            <c:numRef>
              <c:f>Sheet1!$I$76:$I$78</c:f>
              <c:numCache>
                <c:formatCode>0.00%</c:formatCode>
                <c:ptCount val="3"/>
                <c:pt idx="0">
                  <c:v>3.7699999999999997E-2</c:v>
                </c:pt>
                <c:pt idx="1">
                  <c:v>0.35849999999999999</c:v>
                </c:pt>
                <c:pt idx="2">
                  <c:v>0.6038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1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2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Какво би направило упражненията/семинарите по-полезни и по-интересни?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9.3055555555555558E-2"/>
          <c:y val="0.25737787984835231"/>
          <c:w val="0.90694444444444444"/>
          <c:h val="0.5134758675998834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Sheet1!$I$87:$I$89</c:f>
              <c:strCache>
                <c:ptCount val="3"/>
                <c:pt idx="0">
                  <c:v>включване на повече логически задачи </c:v>
                </c:pt>
                <c:pt idx="1">
                  <c:v>включване на тестови задачи </c:v>
                </c:pt>
                <c:pt idx="2">
                  <c:v>повече теоретични въпроси, свързани с материала</c:v>
                </c:pt>
              </c:strCache>
            </c:strRef>
          </c:cat>
          <c:val>
            <c:numRef>
              <c:f>Sheet1!$J$87:$J$89</c:f>
              <c:numCache>
                <c:formatCode>0.00%</c:formatCode>
                <c:ptCount val="3"/>
                <c:pt idx="0">
                  <c:v>0.75470000000000004</c:v>
                </c:pt>
                <c:pt idx="1">
                  <c:v>0.20749999999999999</c:v>
                </c:pt>
                <c:pt idx="2">
                  <c:v>3.78E-2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"/>
          <c:y val="0.84489829396325455"/>
          <c:w val="1"/>
          <c:h val="0.1551017060367454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750" b="0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1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2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Използване на обявените от преподавателите часове</a:t>
            </a:r>
            <a:r>
              <a:rPr lang="bg-BG" sz="1200" baseline="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 за консултация</a:t>
            </a:r>
            <a:endParaRPr lang="en-US" sz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cat>
            <c:strRef>
              <c:f>Sheet1!$I$101:$I$103</c:f>
              <c:strCache>
                <c:ptCount val="3"/>
                <c:pt idx="0">
                  <c:v>не </c:v>
                </c:pt>
                <c:pt idx="1">
                  <c:v>рядко </c:v>
                </c:pt>
                <c:pt idx="2">
                  <c:v>често</c:v>
                </c:pt>
              </c:strCache>
            </c:strRef>
          </c:cat>
          <c:val>
            <c:numRef>
              <c:f>Sheet1!$J$101:$J$103</c:f>
              <c:numCache>
                <c:formatCode>0.00%</c:formatCode>
                <c:ptCount val="3"/>
                <c:pt idx="0">
                  <c:v>0.90569999999999995</c:v>
                </c:pt>
                <c:pt idx="1">
                  <c:v>7.5499999999999998E-2</c:v>
                </c:pt>
                <c:pt idx="2">
                  <c:v>1.8800000000000001E-2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1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2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Оценка на обясненията на преподавателя,</a:t>
            </a:r>
            <a:r>
              <a:rPr lang="bg-BG" sz="1200" baseline="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 водещ упражненията - гл.ас.И.Куманов, доц. Г.Петрова, ас.М.Иванова, ас. М.Пешева</a:t>
            </a:r>
            <a:endParaRPr lang="en-US" sz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layout>
        <c:manualLayout>
          <c:xMode val="edge"/>
          <c:yMode val="edge"/>
          <c:x val="0.14193961048986523"/>
          <c:y val="5.4869684499314125E-3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6.5277796157833218E-2"/>
          <c:y val="0.34510396077033578"/>
          <c:w val="0.90694444444444444"/>
          <c:h val="0.57353893263342082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Sheet1!$G$117:$G$119</c:f>
              <c:strCache>
                <c:ptCount val="3"/>
                <c:pt idx="0">
                  <c:v>ясни </c:v>
                </c:pt>
                <c:pt idx="1">
                  <c:v>относително ясни</c:v>
                </c:pt>
                <c:pt idx="2">
                  <c:v>объркани</c:v>
                </c:pt>
              </c:strCache>
            </c:strRef>
          </c:cat>
          <c:val>
            <c:numRef>
              <c:f>Sheet1!$H$117:$H$119</c:f>
              <c:numCache>
                <c:formatCode>0.00%</c:formatCode>
                <c:ptCount val="3"/>
                <c:pt idx="0">
                  <c:v>0.84909999999999997</c:v>
                </c:pt>
                <c:pt idx="1">
                  <c:v>0.1321</c:v>
                </c:pt>
                <c:pt idx="2">
                  <c:v>1.8800000000000001E-2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24222170758067008"/>
          <c:y val="0.9074067593402676"/>
          <c:w val="0.5211586051743532"/>
          <c:h val="9.2593240659732345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1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1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Интерес</a:t>
            </a:r>
            <a:r>
              <a:rPr lang="bg-BG" sz="1100" baseline="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 на преподавателите към успеваемостта и разбирането на материала от страна на студентите - доц. А.Тодорова, доц. Е. Григоров, доц. Г.Петрова, гл.ас.И.Куманов, ас. М.Иванова, ас. М. Пешева</a:t>
            </a:r>
            <a:endParaRPr lang="en-US" sz="11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layout>
        <c:manualLayout>
          <c:xMode val="edge"/>
          <c:yMode val="edge"/>
          <c:x val="0.10945122484689414"/>
          <c:y val="0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2.2222222222222223E-2"/>
          <c:y val="0.36574074074074081"/>
          <c:w val="0.96944444444444444"/>
          <c:h val="0.55150408282298047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Sheet1!$H$139:$H$141</c:f>
              <c:strCache>
                <c:ptCount val="3"/>
                <c:pt idx="0">
                  <c:v>да</c:v>
                </c:pt>
                <c:pt idx="1">
                  <c:v>не</c:v>
                </c:pt>
                <c:pt idx="2">
                  <c:v>без отговор</c:v>
                </c:pt>
              </c:strCache>
            </c:strRef>
          </c:cat>
          <c:val>
            <c:numRef>
              <c:f>Sheet1!$I$139:$I$141</c:f>
              <c:numCache>
                <c:formatCode>0.00%</c:formatCode>
                <c:ptCount val="3"/>
                <c:pt idx="0">
                  <c:v>0.84909999999999997</c:v>
                </c:pt>
                <c:pt idx="1">
                  <c:v>3.7699999999999997E-2</c:v>
                </c:pt>
                <c:pt idx="2">
                  <c:v>0.1132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0.34455052493438321"/>
          <c:y val="0.92187445319335082"/>
          <c:w val="0.31089895013123359"/>
          <c:h val="7.8125546806649182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2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Лекциите са:</a:t>
            </a:r>
            <a:endParaRPr lang="en-US" sz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Лист1!$H$22</c:f>
              <c:strCache>
                <c:ptCount val="1"/>
                <c:pt idx="0">
                  <c:v>Б) скучни и безинтересни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Лист1!$G$23:$G$26</c:f>
              <c:strCache>
                <c:ptCount val="4"/>
                <c:pt idx="0">
                  <c:v>не</c:v>
                </c:pt>
                <c:pt idx="1">
                  <c:v>в известна степен</c:v>
                </c:pt>
                <c:pt idx="2">
                  <c:v>във висока степен</c:v>
                </c:pt>
                <c:pt idx="3">
                  <c:v>да</c:v>
                </c:pt>
              </c:strCache>
            </c:strRef>
          </c:cat>
          <c:val>
            <c:numRef>
              <c:f>Лист1!$H$23:$H$26</c:f>
              <c:numCache>
                <c:formatCode>0.00%</c:formatCode>
                <c:ptCount val="4"/>
                <c:pt idx="0">
                  <c:v>0.69820000000000004</c:v>
                </c:pt>
                <c:pt idx="1">
                  <c:v>0.2641</c:v>
                </c:pt>
                <c:pt idx="2" formatCode="0%">
                  <c:v>0</c:v>
                </c:pt>
                <c:pt idx="3">
                  <c:v>3.7699999999999997E-2</c:v>
                </c:pt>
              </c:numCache>
            </c:numRef>
          </c:val>
        </c:ser>
        <c:ser>
          <c:idx val="1"/>
          <c:order val="1"/>
          <c:tx>
            <c:strRef>
              <c:f>Лист1!$I$22</c:f>
              <c:strCache>
                <c:ptCount val="1"/>
                <c:pt idx="0">
                  <c:v>А) съдържателни и интересни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Лист1!$G$23:$G$26</c:f>
              <c:strCache>
                <c:ptCount val="4"/>
                <c:pt idx="0">
                  <c:v>не</c:v>
                </c:pt>
                <c:pt idx="1">
                  <c:v>в известна степен</c:v>
                </c:pt>
                <c:pt idx="2">
                  <c:v>във висока степен</c:v>
                </c:pt>
                <c:pt idx="3">
                  <c:v>да</c:v>
                </c:pt>
              </c:strCache>
            </c:strRef>
          </c:cat>
          <c:val>
            <c:numRef>
              <c:f>Лист1!$I$23:$I$26</c:f>
              <c:numCache>
                <c:formatCode>0.00%</c:formatCode>
                <c:ptCount val="4"/>
                <c:pt idx="0" formatCode="0%">
                  <c:v>0</c:v>
                </c:pt>
                <c:pt idx="1">
                  <c:v>0.2641</c:v>
                </c:pt>
                <c:pt idx="2">
                  <c:v>0.2641</c:v>
                </c:pt>
                <c:pt idx="3">
                  <c:v>0.4718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864552984"/>
        <c:axId val="864554160"/>
      </c:barChart>
      <c:catAx>
        <c:axId val="864552984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864554160"/>
        <c:crosses val="autoZero"/>
        <c:auto val="1"/>
        <c:lblAlgn val="ctr"/>
        <c:lblOffset val="100"/>
        <c:noMultiLvlLbl val="0"/>
      </c:catAx>
      <c:valAx>
        <c:axId val="864554160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86455298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20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2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Цялостна оценка за ползата от упражненията за цялостната подготовка на студентите за изпита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9.3055555555555558E-2"/>
          <c:y val="0.27492016622922133"/>
          <c:w val="0.87222222222222212"/>
          <c:h val="0.56925634295713035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Sheet2!$I$6:$I$8</c:f>
              <c:strCache>
                <c:ptCount val="3"/>
                <c:pt idx="0">
                  <c:v>много добра</c:v>
                </c:pt>
                <c:pt idx="1">
                  <c:v>добра</c:v>
                </c:pt>
                <c:pt idx="2">
                  <c:v>задоволителна </c:v>
                </c:pt>
              </c:strCache>
            </c:strRef>
          </c:cat>
          <c:val>
            <c:numRef>
              <c:f>Sheet2!$J$6:$J$8</c:f>
              <c:numCache>
                <c:formatCode>0.00%</c:formatCode>
                <c:ptCount val="3"/>
                <c:pt idx="0">
                  <c:v>0.32079999999999997</c:v>
                </c:pt>
                <c:pt idx="1">
                  <c:v>0.62260000000000004</c:v>
                </c:pt>
                <c:pt idx="2">
                  <c:v>5.6599999999999998E-2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2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2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Оценяване на времетраене, контрол и дати за планиран текущ контрол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4.0590736017152781E-2"/>
          <c:y val="0.29230938725251937"/>
          <c:w val="0.95940926398284709"/>
          <c:h val="0.57848071460203276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Sheet2!$I$21:$I$23</c:f>
              <c:strCache>
                <c:ptCount val="3"/>
                <c:pt idx="0">
                  <c:v>много добра</c:v>
                </c:pt>
                <c:pt idx="1">
                  <c:v>добра</c:v>
                </c:pt>
                <c:pt idx="2">
                  <c:v>задоволителна </c:v>
                </c:pt>
              </c:strCache>
            </c:strRef>
          </c:cat>
          <c:val>
            <c:numRef>
              <c:f>Sheet2!$J$21:$J$23</c:f>
              <c:numCache>
                <c:formatCode>0.00%</c:formatCode>
                <c:ptCount val="3"/>
                <c:pt idx="0">
                  <c:v>0.39629999999999999</c:v>
                </c:pt>
                <c:pt idx="1">
                  <c:v>0.52829999999999999</c:v>
                </c:pt>
                <c:pt idx="2">
                  <c:v>7.5399999999999995E-2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2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2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Оценка на броя на планираните колоквиуми</a:t>
            </a:r>
          </a:p>
        </c:rich>
      </c:tx>
      <c:layout>
        <c:manualLayout>
          <c:xMode val="edge"/>
          <c:yMode val="edge"/>
          <c:x val="0.10449999999999998"/>
          <c:y val="1.3888888888888888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9.5909218636964236E-2"/>
          <c:y val="0.20427735467492794"/>
          <c:w val="0.90409078136303578"/>
          <c:h val="0.60742825179639426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dLbl>
              <c:idx val="1"/>
              <c:layout>
                <c:manualLayout>
                  <c:x val="2.186273982267023E-2"/>
                  <c:y val="-8.5215782453422831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dLbl>
              <c:idx val="2"/>
              <c:layout>
                <c:manualLayout>
                  <c:x val="4.0328711758410608E-2"/>
                  <c:y val="1.6707542704702896E-3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Sheet2!$I$34:$I$36</c:f>
              <c:strCache>
                <c:ptCount val="3"/>
                <c:pt idx="0">
                  <c:v>достатъчно</c:v>
                </c:pt>
                <c:pt idx="1">
                  <c:v>недостатъчно на брой</c:v>
                </c:pt>
                <c:pt idx="2">
                  <c:v>няма нужда от колоквиуми</c:v>
                </c:pt>
              </c:strCache>
            </c:strRef>
          </c:cat>
          <c:val>
            <c:numRef>
              <c:f>Sheet2!$J$34:$J$36</c:f>
              <c:numCache>
                <c:formatCode>0.00%</c:formatCode>
                <c:ptCount val="3"/>
                <c:pt idx="0">
                  <c:v>0.92459999999999998</c:v>
                </c:pt>
                <c:pt idx="1">
                  <c:v>3.7699999999999997E-2</c:v>
                </c:pt>
                <c:pt idx="2">
                  <c:v>3.7699999999999997E-2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2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2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Оценяване на колоквиумите по степен на трудност на въпросите</a:t>
            </a:r>
          </a:p>
        </c:rich>
      </c:tx>
      <c:layout>
        <c:manualLayout>
          <c:xMode val="edge"/>
          <c:yMode val="edge"/>
          <c:x val="0.16233883351993589"/>
          <c:y val="5.270092226613966E-3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6.5559287606531645E-3"/>
          <c:y val="0.23579513035178903"/>
          <c:w val="0.99344407123934686"/>
          <c:h val="0.62709159378793056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Sheet2!$H$52:$H$54</c:f>
              <c:strCache>
                <c:ptCount val="3"/>
                <c:pt idx="0">
                  <c:v>трудни</c:v>
                </c:pt>
                <c:pt idx="1">
                  <c:v>в съответствие със знанията ви</c:v>
                </c:pt>
                <c:pt idx="2">
                  <c:v>лесни</c:v>
                </c:pt>
              </c:strCache>
            </c:strRef>
          </c:cat>
          <c:val>
            <c:numRef>
              <c:f>Sheet2!$I$52:$I$54</c:f>
              <c:numCache>
                <c:formatCode>0.00%</c:formatCode>
                <c:ptCount val="3"/>
                <c:pt idx="0">
                  <c:v>0.13200000000000001</c:v>
                </c:pt>
                <c:pt idx="1">
                  <c:v>0.86799999999999999</c:v>
                </c:pt>
                <c:pt idx="2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2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2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Обективност при оценяване на знанията на студентите на колоквиумите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9.7254916595141253E-2"/>
          <c:y val="0.29376614484454266"/>
          <c:w val="0.90274508340485871"/>
          <c:h val="0.57439067152179102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Sheet2!$H$66:$H$67</c:f>
              <c:strCache>
                <c:ptCount val="2"/>
                <c:pt idx="0">
                  <c:v>да</c:v>
                </c:pt>
                <c:pt idx="1">
                  <c:v>не</c:v>
                </c:pt>
              </c:strCache>
            </c:strRef>
          </c:cat>
          <c:val>
            <c:numRef>
              <c:f>Sheet2!$I$66:$I$67</c:f>
              <c:numCache>
                <c:formatCode>0.00%</c:formatCode>
                <c:ptCount val="2"/>
                <c:pt idx="0">
                  <c:v>0.96230000000000004</c:v>
                </c:pt>
                <c:pt idx="1">
                  <c:v>3.7699999999999997E-2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2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r>
              <a:rPr lang="bg-BG" sz="1200">
                <a:latin typeface="Times New Roman" panose="02020603050405020304" pitchFamily="18" charset="0"/>
                <a:cs typeface="Times New Roman" panose="02020603050405020304" pitchFamily="18" charset="0"/>
              </a:rPr>
              <a:t>С обучението по дисциплината "Социална фармация и фармацевтично законодателство" студентите</a:t>
            </a:r>
          </a:p>
        </c:rich>
      </c:tx>
      <c:layout>
        <c:manualLayout>
          <c:xMode val="edge"/>
          <c:yMode val="edge"/>
          <c:x val="0.10304855643044619"/>
          <c:y val="1.3888888888888888E-2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/>
      <c:barChart>
        <c:barDir val="bar"/>
        <c:grouping val="clustered"/>
        <c:varyColors val="0"/>
        <c:ser>
          <c:idx val="0"/>
          <c:order val="0"/>
          <c:tx>
            <c:strRef>
              <c:f>Sheet2!$J$89</c:f>
              <c:strCache>
                <c:ptCount val="1"/>
                <c:pt idx="0">
                  <c:v>не</c:v>
                </c:pt>
              </c:strCache>
            </c:strRef>
          </c:tx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Sheet2!$K$88:$N$88</c:f>
              <c:strCache>
                <c:ptCount val="4"/>
                <c:pt idx="0">
                  <c:v>Г) научихте полезни за бъдещата Ви професионална реализация знания и умения</c:v>
                </c:pt>
                <c:pt idx="1">
                  <c:v>В) научихте нови за Вас неща (теории, понятия, факти)</c:v>
                </c:pt>
                <c:pt idx="2">
                  <c:v>Б) формирахте интерес към малко позната научна област</c:v>
                </c:pt>
                <c:pt idx="3">
                  <c:v>А) получихте познания в научната област, в която имахте предварително формиран интерес</c:v>
                </c:pt>
              </c:strCache>
            </c:strRef>
          </c:cat>
          <c:val>
            <c:numRef>
              <c:f>Sheet2!$K$89:$N$89</c:f>
              <c:numCache>
                <c:formatCode>0.00%</c:formatCode>
                <c:ptCount val="4"/>
                <c:pt idx="0">
                  <c:v>0</c:v>
                </c:pt>
                <c:pt idx="1">
                  <c:v>0</c:v>
                </c:pt>
                <c:pt idx="2">
                  <c:v>4.5499999999999999E-2</c:v>
                </c:pt>
                <c:pt idx="3">
                  <c:v>0</c:v>
                </c:pt>
              </c:numCache>
            </c:numRef>
          </c:val>
        </c:ser>
        <c:ser>
          <c:idx val="1"/>
          <c:order val="1"/>
          <c:tx>
            <c:strRef>
              <c:f>Sheet2!$J$90</c:f>
              <c:strCache>
                <c:ptCount val="1"/>
                <c:pt idx="0">
                  <c:v>да</c:v>
                </c:pt>
              </c:strCache>
            </c:strRef>
          </c:tx>
          <c:spPr>
            <a:solidFill>
              <a:schemeClr val="accent2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Sheet2!$K$88:$N$88</c:f>
              <c:strCache>
                <c:ptCount val="4"/>
                <c:pt idx="0">
                  <c:v>Г) научихте полезни за бъдещата Ви професионална реализация знания и умения</c:v>
                </c:pt>
                <c:pt idx="1">
                  <c:v>В) научихте нови за Вас неща (теории, понятия, факти)</c:v>
                </c:pt>
                <c:pt idx="2">
                  <c:v>Б) формирахте интерес към малко позната научна област</c:v>
                </c:pt>
                <c:pt idx="3">
                  <c:v>А) получихте познания в научната област, в която имахте предварително формиран интерес</c:v>
                </c:pt>
              </c:strCache>
            </c:strRef>
          </c:cat>
          <c:val>
            <c:numRef>
              <c:f>Sheet2!$K$90:$N$90</c:f>
              <c:numCache>
                <c:formatCode>0.00%</c:formatCode>
                <c:ptCount val="4"/>
                <c:pt idx="0">
                  <c:v>1</c:v>
                </c:pt>
                <c:pt idx="1">
                  <c:v>1</c:v>
                </c:pt>
                <c:pt idx="2">
                  <c:v>0.95450000000000002</c:v>
                </c:pt>
                <c:pt idx="3">
                  <c:v>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703931384"/>
        <c:axId val="703939224"/>
      </c:barChart>
      <c:catAx>
        <c:axId val="703931384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03939224"/>
        <c:crosses val="autoZero"/>
        <c:auto val="1"/>
        <c:lblAlgn val="ctr"/>
        <c:lblOffset val="100"/>
        <c:noMultiLvlLbl val="0"/>
      </c:catAx>
      <c:valAx>
        <c:axId val="703939224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8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703931384"/>
        <c:crosses val="autoZero"/>
        <c:crossBetween val="between"/>
      </c:valAx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solidFill>
            <a:sysClr val="windowText" lastClr="000000"/>
          </a:solidFill>
        </a:defRPr>
      </a:pPr>
      <a:endParaRPr lang="en-US"/>
    </a:p>
  </c:txPr>
  <c:externalData r:id="rId4">
    <c:autoUpdate val="0"/>
  </c:externalData>
</c:chartSpace>
</file>

<file path=word/charts/chart2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2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Оценка на ползата от обучението по дисциплина СФФЗ за подготовката на студентите като магистър-фармацевти</a:t>
            </a:r>
          </a:p>
        </c:rich>
      </c:tx>
      <c:layout>
        <c:manualLayout>
          <c:xMode val="edge"/>
          <c:yMode val="edge"/>
          <c:x val="0.11667344706911636"/>
          <c:y val="0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>
        <c:manualLayout>
          <c:layoutTarget val="inner"/>
          <c:xMode val="edge"/>
          <c:yMode val="edge"/>
          <c:x val="9.3055555555555558E-2"/>
          <c:y val="0.23759368620589089"/>
          <c:w val="0.90694444444444444"/>
          <c:h val="0.56427967337416152"/>
        </c:manualLayout>
      </c:layout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Sheet2!$J$120:$J$122</c:f>
              <c:strCache>
                <c:ptCount val="3"/>
                <c:pt idx="0">
                  <c:v>много добра</c:v>
                </c:pt>
                <c:pt idx="1">
                  <c:v>добра</c:v>
                </c:pt>
                <c:pt idx="2">
                  <c:v>задоволителна </c:v>
                </c:pt>
              </c:strCache>
            </c:strRef>
          </c:cat>
          <c:val>
            <c:numRef>
              <c:f>Sheet2!$K$120:$K$122</c:f>
              <c:numCache>
                <c:formatCode>0.00%</c:formatCode>
                <c:ptCount val="3"/>
                <c:pt idx="0">
                  <c:v>0.64149999999999996</c:v>
                </c:pt>
                <c:pt idx="1">
                  <c:v>0.20749999999999999</c:v>
                </c:pt>
                <c:pt idx="2">
                  <c:v>0.151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2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Актуалност</a:t>
            </a:r>
            <a:r>
              <a:rPr lang="bg-BG" sz="1200" baseline="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 на включените теми и проблеми</a:t>
            </a:r>
            <a:endParaRPr lang="en-US" sz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3"/>
            <c:bubble3D val="0"/>
            <c:spPr>
              <a:solidFill>
                <a:schemeClr val="accent4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Лист1!$H$39:$H$42</c:f>
              <c:strCache>
                <c:ptCount val="4"/>
                <c:pt idx="0">
                  <c:v>много актуални</c:v>
                </c:pt>
                <c:pt idx="1">
                  <c:v>по-скоро актуални</c:v>
                </c:pt>
                <c:pt idx="2">
                  <c:v>слабо актуални</c:v>
                </c:pt>
                <c:pt idx="3">
                  <c:v>не мога да преценя</c:v>
                </c:pt>
              </c:strCache>
            </c:strRef>
          </c:cat>
          <c:val>
            <c:numRef>
              <c:f>Лист1!$I$39:$I$42</c:f>
              <c:numCache>
                <c:formatCode>0%</c:formatCode>
                <c:ptCount val="4"/>
                <c:pt idx="0" formatCode="0.00%">
                  <c:v>0.83020000000000005</c:v>
                </c:pt>
                <c:pt idx="1">
                  <c:v>0.13200000000000001</c:v>
                </c:pt>
                <c:pt idx="2" formatCode="0.00%">
                  <c:v>0</c:v>
                </c:pt>
                <c:pt idx="3" formatCode="0.00%">
                  <c:v>3.78E-2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r>
              <a:rPr lang="bg-BG" sz="1200">
                <a:latin typeface="Times New Roman" panose="02020603050405020304" pitchFamily="18" charset="0"/>
                <a:cs typeface="Times New Roman" panose="02020603050405020304" pitchFamily="18" charset="0"/>
              </a:rPr>
              <a:t>Професионална приложимост и полезност на усвоените знания и умения</a:t>
            </a:r>
            <a:endParaRPr lang="en-US" sz="1200"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layout>
        <c:manualLayout>
          <c:xMode val="edge"/>
          <c:yMode val="edge"/>
          <c:x val="0.16803455818022747"/>
          <c:y val="4.6296296296296294E-3"/>
        </c:manualLayout>
      </c:layout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Лист1!$H$47:$H$49</c:f>
              <c:strCache>
                <c:ptCount val="3"/>
                <c:pt idx="0">
                  <c:v>много висока </c:v>
                </c:pt>
                <c:pt idx="1">
                  <c:v>средна </c:v>
                </c:pt>
                <c:pt idx="2">
                  <c:v>ниска</c:v>
                </c:pt>
              </c:strCache>
            </c:strRef>
          </c:cat>
          <c:val>
            <c:numRef>
              <c:f>Лист1!$I$47:$I$49</c:f>
              <c:numCache>
                <c:formatCode>0.00%</c:formatCode>
                <c:ptCount val="3"/>
                <c:pt idx="0">
                  <c:v>0.84909999999999997</c:v>
                </c:pt>
                <c:pt idx="1">
                  <c:v>0.15090000000000001</c:v>
                </c:pt>
                <c:pt idx="2" formatCode="0%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solidFill>
            <a:sysClr val="windowText" lastClr="000000"/>
          </a:solidFill>
        </a:defRPr>
      </a:pPr>
      <a:endParaRPr lang="en-US"/>
    </a:p>
  </c:txPr>
  <c:externalData r:id="rId4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2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Преподаване</a:t>
            </a:r>
            <a:r>
              <a:rPr lang="bg-BG" sz="1200" baseline="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 на учебния материал</a:t>
            </a:r>
            <a:endParaRPr lang="en-US" sz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Лист1!$I$61:$I$63</c:f>
              <c:strCache>
                <c:ptCount val="3"/>
                <c:pt idx="0">
                  <c:v>много достъпен език</c:v>
                </c:pt>
                <c:pt idx="1">
                  <c:v>средно достъпен език</c:v>
                </c:pt>
                <c:pt idx="2">
                  <c:v>слабо достъпен език</c:v>
                </c:pt>
              </c:strCache>
            </c:strRef>
          </c:cat>
          <c:val>
            <c:numRef>
              <c:f>Лист1!$J$61:$J$63</c:f>
              <c:numCache>
                <c:formatCode>0.00%</c:formatCode>
                <c:ptCount val="3"/>
                <c:pt idx="0">
                  <c:v>0.41510000000000002</c:v>
                </c:pt>
                <c:pt idx="1">
                  <c:v>0.54720000000000002</c:v>
                </c:pt>
                <c:pt idx="2">
                  <c:v>3.7699999999999997E-2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6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2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Темп на преподаване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dLbl>
              <c:idx val="0"/>
              <c:layout>
                <c:manualLayout>
                  <c:x val="5.326361231873043E-5"/>
                  <c:y val="1.4300249505848807E-2"/>
                </c:manualLayout>
              </c:layout>
              <c:showLegendKey val="0"/>
              <c:showVal val="1"/>
              <c:showCatName val="0"/>
              <c:showSerName val="0"/>
              <c:showPercent val="0"/>
              <c:showBubbleSize val="0"/>
              <c:extLst>
                <c:ext xmlns:c15="http://schemas.microsoft.com/office/drawing/2012/chart" uri="{CE6537A1-D6FC-4f65-9D91-7224C49458BB}"/>
              </c:extLst>
            </c:dLbl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Лист1!$G$74:$G$76</c:f>
              <c:strCache>
                <c:ptCount val="3"/>
                <c:pt idx="0">
                  <c:v>висок</c:v>
                </c:pt>
                <c:pt idx="1">
                  <c:v>нормален</c:v>
                </c:pt>
                <c:pt idx="2">
                  <c:v>бавен</c:v>
                </c:pt>
              </c:strCache>
            </c:strRef>
          </c:cat>
          <c:val>
            <c:numRef>
              <c:f>Лист1!$H$74:$H$76</c:f>
              <c:numCache>
                <c:formatCode>0.00%</c:formatCode>
                <c:ptCount val="3"/>
                <c:pt idx="0">
                  <c:v>5.6599999999999998E-2</c:v>
                </c:pt>
                <c:pt idx="1">
                  <c:v>0.94340000000000002</c:v>
                </c:pt>
                <c:pt idx="2">
                  <c:v>0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ysClr val="windowText" lastClr="000000"/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3">
    <c:autoUpdate val="0"/>
  </c:externalData>
</c:chartSpace>
</file>

<file path=word/charts/chart7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 rot="0" spcFirstLastPara="1" vertOverflow="ellipsis" vert="horz" wrap="square" anchor="ctr" anchorCtr="1"/>
          <a:lstStyle/>
          <a:p>
            <a:pPr>
              <a:defRPr sz="1200" b="0" i="0" u="none" strike="noStrike" kern="1200" spc="0" baseline="0">
                <a:solidFill>
                  <a:sysClr val="windowText" lastClr="000000"/>
                </a:solidFill>
                <a:latin typeface="Times New Roman" panose="02020603050405020304" pitchFamily="18" charset="0"/>
                <a:ea typeface="+mn-ea"/>
                <a:cs typeface="Times New Roman" panose="02020603050405020304" pitchFamily="18" charset="0"/>
              </a:defRPr>
            </a:pPr>
            <a:r>
              <a:rPr lang="bg-BG" sz="1200">
                <a:latin typeface="Times New Roman" panose="02020603050405020304" pitchFamily="18" charset="0"/>
                <a:cs typeface="Times New Roman" panose="02020603050405020304" pitchFamily="18" charset="0"/>
              </a:rPr>
              <a:t>Честота на посещение на лекции 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200" b="0" i="0" u="none" strike="noStrike" kern="1200" spc="0" baseline="0">
              <a:solidFill>
                <a:sysClr val="windowText" lastClr="000000"/>
              </a:solidFill>
              <a:latin typeface="Times New Roman" panose="02020603050405020304" pitchFamily="18" charset="0"/>
              <a:ea typeface="+mn-ea"/>
              <a:cs typeface="Times New Roman" panose="02020603050405020304" pitchFamily="18" charset="0"/>
            </a:defRPr>
          </a:pPr>
          <a:endParaRPr lang="en-US"/>
        </a:p>
      </c:txPr>
    </c:title>
    <c:autoTitleDeleted val="0"/>
    <c:plotArea>
      <c:layout/>
      <c:barChart>
        <c:barDir val="bar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ysClr val="windowText" lastClr="000000"/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Лист1!$F$83:$F$85</c:f>
              <c:strCache>
                <c:ptCount val="3"/>
                <c:pt idx="0">
                  <c:v>не посещавах</c:v>
                </c:pt>
                <c:pt idx="1">
                  <c:v>посещавах единични лекции</c:v>
                </c:pt>
                <c:pt idx="2">
                  <c:v>редовно посещавах лекциите</c:v>
                </c:pt>
              </c:strCache>
            </c:strRef>
          </c:cat>
          <c:val>
            <c:numRef>
              <c:f>Лист1!$G$83:$G$85</c:f>
              <c:numCache>
                <c:formatCode>0.00%</c:formatCode>
                <c:ptCount val="3"/>
                <c:pt idx="0" formatCode="0%">
                  <c:v>0</c:v>
                </c:pt>
                <c:pt idx="1">
                  <c:v>0.62260000000000004</c:v>
                </c:pt>
                <c:pt idx="2">
                  <c:v>0.37740000000000001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864549848"/>
        <c:axId val="864551808"/>
      </c:barChart>
      <c:catAx>
        <c:axId val="864549848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864551808"/>
        <c:crosses val="autoZero"/>
        <c:auto val="1"/>
        <c:lblAlgn val="ctr"/>
        <c:lblOffset val="100"/>
        <c:noMultiLvlLbl val="0"/>
      </c:catAx>
      <c:valAx>
        <c:axId val="864551808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864549848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>
          <a:solidFill>
            <a:sysClr val="windowText" lastClr="000000"/>
          </a:solidFill>
        </a:defRPr>
      </a:pPr>
      <a:endParaRPr lang="en-US"/>
    </a:p>
  </c:txPr>
  <c:externalData r:id="rId3">
    <c:autoUpdate val="0"/>
  </c:externalData>
</c:chartSpace>
</file>

<file path=word/charts/chart8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2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Преподавателят водещ лекциите:</a:t>
            </a:r>
            <a:endParaRPr lang="en-US" sz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plotArea>
      <c:layout>
        <c:manualLayout>
          <c:layoutTarget val="inner"/>
          <c:xMode val="edge"/>
          <c:yMode val="edge"/>
          <c:x val="0.5179698162729659"/>
          <c:y val="0.15648148148148147"/>
          <c:w val="0.43623862642169725"/>
          <c:h val="0.75329469233012536"/>
        </c:manualLayout>
      </c:layout>
      <c:barChart>
        <c:barDir val="bar"/>
        <c:grouping val="clustered"/>
        <c:varyColors val="0"/>
        <c:ser>
          <c:idx val="0"/>
          <c:order val="0"/>
          <c:spPr>
            <a:solidFill>
              <a:schemeClr val="accent1"/>
            </a:solidFill>
            <a:ln>
              <a:noFill/>
            </a:ln>
            <a:effectLst/>
          </c:spPr>
          <c:invertIfNegative val="0"/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showLeaderLines val="1"/>
                <c15:leaderLines>
                  <c:spPr>
                    <a:ln w="9525" cap="flat" cmpd="sng" algn="ctr">
                      <a:solidFill>
                        <a:schemeClr val="tx1">
                          <a:lumMod val="35000"/>
                          <a:lumOff val="65000"/>
                        </a:schemeClr>
                      </a:solidFill>
                      <a:round/>
                    </a:ln>
                    <a:effectLst/>
                  </c:spPr>
                </c15:leaderLines>
              </c:ext>
            </c:extLst>
          </c:dLbls>
          <c:cat>
            <c:strRef>
              <c:f>Лист1!$H$94:$H$98</c:f>
              <c:strCache>
                <c:ptCount val="5"/>
                <c:pt idx="0">
                  <c:v>чете и диктува предварително написани лекции</c:v>
                </c:pt>
                <c:pt idx="1">
                  <c:v>говори увлекателно</c:v>
                </c:pt>
                <c:pt idx="2">
                  <c:v>въвлича студентите в дискусия</c:v>
                </c:pt>
                <c:pt idx="3">
                  <c:v>толерантен и коректен в отношенията си със студентите</c:v>
                </c:pt>
                <c:pt idx="4">
                  <c:v>стимулира свободно участие на студентите, творческо и нестандартно мислене</c:v>
                </c:pt>
              </c:strCache>
            </c:strRef>
          </c:cat>
          <c:val>
            <c:numRef>
              <c:f>Лист1!$I$94:$I$98</c:f>
              <c:numCache>
                <c:formatCode>0.00%</c:formatCode>
                <c:ptCount val="5"/>
                <c:pt idx="0">
                  <c:v>3.7699999999999997E-2</c:v>
                </c:pt>
                <c:pt idx="1">
                  <c:v>0.3019</c:v>
                </c:pt>
                <c:pt idx="2">
                  <c:v>0.18870000000000001</c:v>
                </c:pt>
                <c:pt idx="3">
                  <c:v>0.24529999999999999</c:v>
                </c:pt>
                <c:pt idx="4">
                  <c:v>0.22639999999999999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82"/>
        <c:axId val="864556512"/>
        <c:axId val="864557688"/>
      </c:barChart>
      <c:catAx>
        <c:axId val="864556512"/>
        <c:scaling>
          <c:orientation val="minMax"/>
        </c:scaling>
        <c:delete val="0"/>
        <c:axPos val="l"/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>
                <a:lumMod val="15000"/>
                <a:lumOff val="85000"/>
              </a:schemeClr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9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864557688"/>
        <c:crosses val="autoZero"/>
        <c:auto val="1"/>
        <c:lblAlgn val="ctr"/>
        <c:lblOffset val="100"/>
        <c:noMultiLvlLbl val="0"/>
      </c:catAx>
      <c:valAx>
        <c:axId val="864557688"/>
        <c:scaling>
          <c:orientation val="minMax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numFmt formatCode="0.00%" sourceLinked="1"/>
        <c:majorTickMark val="none"/>
        <c:minorTickMark val="none"/>
        <c:tickLblPos val="nextTo"/>
        <c:spPr>
          <a:noFill/>
          <a:ln>
            <a:noFill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700" b="0" i="0" u="none" strike="noStrike" kern="1200" baseline="0">
                <a:solidFill>
                  <a:sysClr val="windowText" lastClr="000000"/>
                </a:solidFill>
                <a:latin typeface="+mn-lt"/>
                <a:ea typeface="+mn-ea"/>
                <a:cs typeface="+mn-cs"/>
              </a:defRPr>
            </a:pPr>
            <a:endParaRPr lang="en-US"/>
          </a:p>
        </c:txPr>
        <c:crossAx val="864556512"/>
        <c:crosses val="autoZero"/>
        <c:crossBetween val="between"/>
      </c:valAx>
      <c:spPr>
        <a:noFill/>
        <a:ln>
          <a:noFill/>
        </a:ln>
        <a:effectLst/>
      </c:spPr>
    </c:plotArea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hart9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en-US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400" b="0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bg-BG" sz="1200">
                <a:solidFill>
                  <a:sysClr val="windowText" lastClr="000000"/>
                </a:solidFill>
                <a:latin typeface="Times New Roman" panose="02020603050405020304" pitchFamily="18" charset="0"/>
                <a:cs typeface="Times New Roman" panose="02020603050405020304" pitchFamily="18" charset="0"/>
              </a:rPr>
              <a:t>Контакт между преподавателя и студентите по време на лекции</a:t>
            </a:r>
          </a:p>
          <a:p>
            <a:pPr>
              <a:defRPr/>
            </a:pPr>
            <a:endParaRPr lang="bg-BG" sz="1200">
              <a:solidFill>
                <a:sysClr val="windowText" lastClr="000000"/>
              </a:solidFill>
              <a:latin typeface="Times New Roman" panose="02020603050405020304" pitchFamily="18" charset="0"/>
              <a:cs typeface="Times New Roman" panose="02020603050405020304" pitchFamily="18" charset="0"/>
            </a:endParaRPr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400" b="0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ln>
          <a:noFill/>
        </a:ln>
        <a:effectLst/>
        <a:sp3d/>
      </c:spPr>
    </c:floor>
    <c:sideWall>
      <c:thickness val="0"/>
      <c:spPr>
        <a:noFill/>
        <a:ln>
          <a:noFill/>
        </a:ln>
        <a:effectLst/>
        <a:sp3d/>
      </c:spPr>
    </c:sideWall>
    <c:backWall>
      <c:thickness val="0"/>
      <c:spPr>
        <a:noFill/>
        <a:ln>
          <a:noFill/>
        </a:ln>
        <a:effectLst/>
        <a:sp3d/>
      </c:spPr>
    </c:backWall>
    <c:plotArea>
      <c:layout/>
      <c:pie3DChart>
        <c:varyColors val="1"/>
        <c:ser>
          <c:idx val="0"/>
          <c:order val="0"/>
          <c:dPt>
            <c:idx val="0"/>
            <c:bubble3D val="0"/>
            <c:spPr>
              <a:solidFill>
                <a:schemeClr val="accent1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1"/>
            <c:bubble3D val="0"/>
            <c:spPr>
              <a:solidFill>
                <a:schemeClr val="accent2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Pt>
            <c:idx val="2"/>
            <c:bubble3D val="0"/>
            <c:spPr>
              <a:solidFill>
                <a:schemeClr val="accent3"/>
              </a:solidFill>
              <a:ln w="25400">
                <a:solidFill>
                  <a:schemeClr val="lt1"/>
                </a:solidFill>
              </a:ln>
              <a:effectLst/>
              <a:sp3d contourW="25400">
                <a:contourClr>
                  <a:schemeClr val="lt1"/>
                </a:contourClr>
              </a:sp3d>
            </c:spPr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1" vertOverflow="ellipsis" vert="horz" wrap="square" lIns="38100" tIns="19050" rIns="38100" bIns="19050" anchor="ctr" anchorCtr="1">
                <a:spAutoFit/>
              </a:bodyPr>
              <a:lstStyle/>
              <a:p>
                <a:pPr>
                  <a:defRPr sz="900" b="0" i="0" u="none" strike="noStrike" kern="1200" baseline="0">
                    <a:solidFill>
                      <a:schemeClr val="tx1">
                        <a:lumMod val="75000"/>
                        <a:lumOff val="2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endParaRPr lang="en-US"/>
              </a:p>
            </c:txPr>
            <c:showLegendKey val="0"/>
            <c:showVal val="1"/>
            <c:showCatName val="0"/>
            <c:showSerName val="0"/>
            <c:showPercent val="0"/>
            <c:showBubbleSize val="0"/>
            <c:showLeaderLines val="1"/>
            <c:leaderLines>
              <c:spPr>
                <a:ln w="9525" cap="flat" cmpd="sng" algn="ctr">
                  <a:solidFill>
                    <a:schemeClr val="tx1">
                      <a:lumMod val="35000"/>
                      <a:lumOff val="65000"/>
                    </a:scheme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Лист1!$J$108:$J$110</c:f>
              <c:strCache>
                <c:ptCount val="3"/>
                <c:pt idx="0">
                  <c:v>много добър</c:v>
                </c:pt>
                <c:pt idx="1">
                  <c:v>добър </c:v>
                </c:pt>
                <c:pt idx="2">
                  <c:v>задоволителен</c:v>
                </c:pt>
              </c:strCache>
            </c:strRef>
          </c:cat>
          <c:val>
            <c:numRef>
              <c:f>Лист1!$K$108:$K$110</c:f>
              <c:numCache>
                <c:formatCode>0.00%</c:formatCode>
                <c:ptCount val="3"/>
                <c:pt idx="0">
                  <c:v>0.434</c:v>
                </c:pt>
                <c:pt idx="1">
                  <c:v>0.50939999999999996</c:v>
                </c:pt>
                <c:pt idx="2">
                  <c:v>5.6599999999999998E-2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900" b="0" i="0" u="none" strike="noStrike" kern="120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en-US"/>
        </a:p>
      </c:txPr>
    </c:legend>
    <c:plotVisOnly val="1"/>
    <c:dispBlanksAs val="gap"/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en-US"/>
    </a:p>
  </c:txPr>
  <c:externalData r:id="rId4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1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0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4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5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6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7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8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9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0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1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2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3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4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5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6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7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8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19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0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1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2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3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4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5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26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4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5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6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7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8.xml><?xml version="1.0" encoding="utf-8"?>
<cs:chartStyle xmlns:cs="http://schemas.microsoft.com/office/drawing/2012/chartStyle" xmlns:a="http://schemas.openxmlformats.org/drawingml/2006/main" id="216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1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charts/style9.xml><?xml version="1.0" encoding="utf-8"?>
<cs:chartStyle xmlns:cs="http://schemas.microsoft.com/office/drawing/2012/chartStyle" xmlns:a="http://schemas.openxmlformats.org/drawingml/2006/main" id="262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  <cs:spPr>
      <a:ln w="19050">
        <a:solidFill>
          <a:schemeClr val="lt1"/>
        </a:solidFill>
      </a:ln>
    </cs:spPr>
  </cs:dataPoint>
  <cs:dataPoint3D>
    <cs:lnRef idx="0"/>
    <cs:fillRef idx="1">
      <cs:styleClr val="auto"/>
    </cs:fillRef>
    <cs:effectRef idx="0"/>
    <cs:fontRef idx="minor">
      <a:schemeClr val="tx1"/>
    </cs:fontRef>
    <cs:spPr>
      <a:ln w="25400">
        <a:solidFill>
          <a:schemeClr val="lt1"/>
        </a:solidFill>
      </a:ln>
    </cs:spPr>
  </cs:dataPoint3D>
  <cs:dataPointLine>
    <cs:lnRef idx="0">
      <cs:styleClr val="auto"/>
    </cs:lnRef>
    <cs:fillRef idx="0"/>
    <cs:effectRef idx="0"/>
    <cs:fontRef idx="minor">
      <a:schemeClr val="tx1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tx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0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4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5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6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7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8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19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0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24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4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5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6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7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8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word/theme/themeOverride9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Office">
    <a:majorFont>
      <a:latin typeface="Cambria" panose="020F03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 panose="020F0502020204030204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47</Words>
  <Characters>270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Галина Руменова Петрова</cp:lastModifiedBy>
  <cp:revision>2</cp:revision>
  <dcterms:created xsi:type="dcterms:W3CDTF">2022-02-16T14:56:00Z</dcterms:created>
  <dcterms:modified xsi:type="dcterms:W3CDTF">2022-02-16T14:56:00Z</dcterms:modified>
</cp:coreProperties>
</file>