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7863" w14:textId="3DBE90D4" w:rsidR="00F9775B" w:rsidRDefault="00F9775B" w:rsidP="006C00A1">
      <w:pPr>
        <w:pStyle w:val="CVNormal"/>
        <w:spacing w:line="276" w:lineRule="auto"/>
        <w:jc w:val="center"/>
        <w:rPr>
          <w:rFonts w:ascii="Times New Roman" w:hAnsi="Times New Roman"/>
          <w:sz w:val="32"/>
          <w:szCs w:val="18"/>
        </w:rPr>
      </w:pPr>
      <w:r w:rsidRPr="00F9775B">
        <w:rPr>
          <w:rFonts w:ascii="Times New Roman" w:hAnsi="Times New Roman"/>
          <w:sz w:val="32"/>
          <w:szCs w:val="18"/>
        </w:rPr>
        <w:t>РЕЗЮМЕТА</w:t>
      </w:r>
    </w:p>
    <w:p w14:paraId="52C6F42C" w14:textId="77777777" w:rsidR="006C00A1" w:rsidRPr="00F9775B" w:rsidRDefault="006C00A1" w:rsidP="006C00A1">
      <w:pPr>
        <w:pStyle w:val="CVNormal"/>
        <w:spacing w:line="276" w:lineRule="auto"/>
        <w:jc w:val="center"/>
        <w:rPr>
          <w:rFonts w:ascii="Times New Roman" w:hAnsi="Times New Roman"/>
          <w:sz w:val="32"/>
          <w:szCs w:val="18"/>
        </w:rPr>
      </w:pPr>
    </w:p>
    <w:p w14:paraId="4E11530B" w14:textId="77777777" w:rsidR="00F9775B" w:rsidRPr="00F9775B" w:rsidRDefault="00F9775B" w:rsidP="006C00A1">
      <w:pPr>
        <w:pStyle w:val="CVNormal"/>
        <w:spacing w:line="276" w:lineRule="auto"/>
        <w:jc w:val="center"/>
        <w:rPr>
          <w:rFonts w:ascii="Times New Roman" w:hAnsi="Times New Roman"/>
          <w:sz w:val="28"/>
          <w:szCs w:val="16"/>
        </w:rPr>
      </w:pPr>
      <w:r w:rsidRPr="00F9775B">
        <w:rPr>
          <w:rFonts w:ascii="Times New Roman" w:hAnsi="Times New Roman"/>
          <w:sz w:val="28"/>
          <w:szCs w:val="16"/>
        </w:rPr>
        <w:t>НА НАУЧНИТЕ ТРУДОВЕ НА БЪЛГАРСКИ И НА АНГЛИЙСКИ ЕЗИК</w:t>
      </w:r>
    </w:p>
    <w:p w14:paraId="09ABA81D" w14:textId="77777777" w:rsidR="00F9775B" w:rsidRPr="00F9775B" w:rsidRDefault="00F9775B" w:rsidP="006C00A1">
      <w:pPr>
        <w:pStyle w:val="CVNormal"/>
        <w:spacing w:line="276" w:lineRule="auto"/>
        <w:jc w:val="center"/>
        <w:rPr>
          <w:rFonts w:ascii="Times New Roman" w:hAnsi="Times New Roman"/>
          <w:sz w:val="36"/>
        </w:rPr>
      </w:pPr>
      <w:r w:rsidRPr="00F9775B">
        <w:rPr>
          <w:rFonts w:ascii="Times New Roman" w:hAnsi="Times New Roman"/>
          <w:sz w:val="36"/>
        </w:rPr>
        <w:t>на</w:t>
      </w:r>
    </w:p>
    <w:p w14:paraId="1B230737" w14:textId="56772E33" w:rsidR="00F9775B" w:rsidRDefault="00F9775B" w:rsidP="006C00A1">
      <w:pPr>
        <w:pStyle w:val="CVNormal"/>
        <w:spacing w:line="276" w:lineRule="auto"/>
        <w:jc w:val="center"/>
        <w:rPr>
          <w:rFonts w:ascii="Times New Roman" w:hAnsi="Times New Roman"/>
          <w:sz w:val="36"/>
        </w:rPr>
      </w:pPr>
      <w:r w:rsidRPr="00F9775B">
        <w:rPr>
          <w:rFonts w:ascii="Times New Roman" w:hAnsi="Times New Roman"/>
          <w:sz w:val="36"/>
        </w:rPr>
        <w:t xml:space="preserve">гл. ас. </w:t>
      </w:r>
      <w:r w:rsidR="0063467C">
        <w:rPr>
          <w:rFonts w:ascii="Times New Roman" w:hAnsi="Times New Roman"/>
          <w:sz w:val="36"/>
        </w:rPr>
        <w:t>д</w:t>
      </w:r>
      <w:r>
        <w:rPr>
          <w:rFonts w:ascii="Times New Roman" w:hAnsi="Times New Roman"/>
          <w:sz w:val="36"/>
        </w:rPr>
        <w:t>-р М</w:t>
      </w:r>
      <w:r w:rsidR="0063467C">
        <w:rPr>
          <w:rFonts w:ascii="Times New Roman" w:hAnsi="Times New Roman"/>
          <w:sz w:val="36"/>
        </w:rPr>
        <w:t>ария Костадинова Левкова</w:t>
      </w:r>
      <w:r w:rsidRPr="00F9775B">
        <w:rPr>
          <w:rFonts w:ascii="Times New Roman" w:hAnsi="Times New Roman"/>
          <w:sz w:val="36"/>
        </w:rPr>
        <w:t>, д</w:t>
      </w:r>
      <w:r>
        <w:rPr>
          <w:rFonts w:ascii="Times New Roman" w:hAnsi="Times New Roman"/>
          <w:sz w:val="36"/>
        </w:rPr>
        <w:t>.</w:t>
      </w:r>
      <w:r w:rsidR="0063467C">
        <w:rPr>
          <w:rFonts w:ascii="Times New Roman" w:hAnsi="Times New Roman"/>
          <w:sz w:val="36"/>
        </w:rPr>
        <w:t>б</w:t>
      </w:r>
      <w:r>
        <w:rPr>
          <w:rFonts w:ascii="Times New Roman" w:hAnsi="Times New Roman"/>
          <w:sz w:val="36"/>
        </w:rPr>
        <w:t>.</w:t>
      </w:r>
    </w:p>
    <w:p w14:paraId="741104CF" w14:textId="04B4F559" w:rsidR="00F9775B" w:rsidRDefault="00F9775B" w:rsidP="00F9775B">
      <w:pPr>
        <w:pStyle w:val="CVNormal"/>
        <w:jc w:val="center"/>
        <w:rPr>
          <w:rFonts w:ascii="Times New Roman" w:hAnsi="Times New Roman"/>
          <w:sz w:val="32"/>
          <w:szCs w:val="18"/>
        </w:rPr>
      </w:pPr>
    </w:p>
    <w:p w14:paraId="2D35135A" w14:textId="77777777" w:rsidR="006C00A1" w:rsidRPr="00F9775B" w:rsidRDefault="006C00A1" w:rsidP="00F9775B">
      <w:pPr>
        <w:pStyle w:val="CVNormal"/>
        <w:jc w:val="center"/>
        <w:rPr>
          <w:rFonts w:ascii="Times New Roman" w:hAnsi="Times New Roman"/>
          <w:sz w:val="32"/>
          <w:szCs w:val="18"/>
        </w:rPr>
      </w:pPr>
    </w:p>
    <w:p w14:paraId="76B2F5C4" w14:textId="0F41F23F" w:rsidR="00F9775B" w:rsidRPr="00F20C1F" w:rsidRDefault="00F9775B" w:rsidP="006C00A1">
      <w:pPr>
        <w:pStyle w:val="CVNormal"/>
        <w:spacing w:line="276" w:lineRule="auto"/>
        <w:jc w:val="both"/>
        <w:rPr>
          <w:rFonts w:ascii="Times New Roman" w:hAnsi="Times New Roman"/>
          <w:sz w:val="24"/>
          <w:szCs w:val="24"/>
        </w:rPr>
      </w:pPr>
      <w:r w:rsidRPr="00F20C1F">
        <w:rPr>
          <w:rFonts w:ascii="Times New Roman" w:hAnsi="Times New Roman"/>
          <w:sz w:val="24"/>
          <w:szCs w:val="24"/>
        </w:rPr>
        <w:t>Представени за участие в конкурс за заемане на АД „доцент“ по специалност „</w:t>
      </w:r>
      <w:r w:rsidR="0063467C" w:rsidRPr="00F20C1F">
        <w:rPr>
          <w:rFonts w:ascii="Times New Roman" w:hAnsi="Times New Roman"/>
          <w:sz w:val="24"/>
          <w:szCs w:val="24"/>
        </w:rPr>
        <w:t>Медицинска генетика</w:t>
      </w:r>
      <w:r w:rsidRPr="00F20C1F">
        <w:rPr>
          <w:rFonts w:ascii="Times New Roman" w:hAnsi="Times New Roman"/>
          <w:sz w:val="24"/>
          <w:szCs w:val="24"/>
        </w:rPr>
        <w:t xml:space="preserve">“, </w:t>
      </w:r>
      <w:r w:rsidR="0063467C" w:rsidRPr="00F20C1F">
        <w:rPr>
          <w:rFonts w:ascii="Times New Roman" w:hAnsi="Times New Roman"/>
          <w:sz w:val="24"/>
          <w:szCs w:val="24"/>
        </w:rPr>
        <w:t>Област на висше образование 4. Природни науки, математика и информатика, професионално направление 4.3. Биологически науки</w:t>
      </w:r>
      <w:r w:rsidRPr="00F20C1F">
        <w:rPr>
          <w:rFonts w:ascii="Times New Roman" w:hAnsi="Times New Roman"/>
          <w:sz w:val="24"/>
          <w:szCs w:val="24"/>
        </w:rPr>
        <w:t xml:space="preserve"> към Факултет Медицина, Катедра „</w:t>
      </w:r>
      <w:r w:rsidR="0063467C" w:rsidRPr="00F20C1F">
        <w:rPr>
          <w:rFonts w:ascii="Times New Roman" w:hAnsi="Times New Roman"/>
          <w:sz w:val="24"/>
          <w:szCs w:val="24"/>
        </w:rPr>
        <w:t>Медицинска генетика</w:t>
      </w:r>
      <w:r w:rsidRPr="00F20C1F">
        <w:rPr>
          <w:rFonts w:ascii="Times New Roman" w:hAnsi="Times New Roman"/>
          <w:sz w:val="24"/>
          <w:szCs w:val="24"/>
        </w:rPr>
        <w:t xml:space="preserve">“, съгласно обява в Държавен вестник, бр. </w:t>
      </w:r>
      <w:r w:rsidR="00F20C1F" w:rsidRPr="00F20C1F">
        <w:rPr>
          <w:rFonts w:ascii="Times New Roman" w:hAnsi="Times New Roman"/>
          <w:sz w:val="24"/>
          <w:szCs w:val="24"/>
        </w:rPr>
        <w:t>83 от 03.10.2023г</w:t>
      </w:r>
      <w:r w:rsidRPr="00F20C1F">
        <w:rPr>
          <w:rFonts w:ascii="Times New Roman" w:hAnsi="Times New Roman"/>
          <w:sz w:val="24"/>
          <w:szCs w:val="24"/>
        </w:rPr>
        <w:t>.</w:t>
      </w:r>
    </w:p>
    <w:p w14:paraId="70B71CE1" w14:textId="77777777" w:rsidR="00F9775B" w:rsidRPr="00F20C1F" w:rsidRDefault="00F9775B" w:rsidP="006C00A1">
      <w:pPr>
        <w:pStyle w:val="CVNormal"/>
        <w:spacing w:line="276" w:lineRule="auto"/>
        <w:jc w:val="both"/>
        <w:rPr>
          <w:rFonts w:ascii="Times New Roman" w:hAnsi="Times New Roman"/>
          <w:sz w:val="24"/>
          <w:szCs w:val="24"/>
        </w:rPr>
      </w:pPr>
    </w:p>
    <w:p w14:paraId="64685A34" w14:textId="232EBF13" w:rsidR="00D66BED" w:rsidRPr="00F20C1F" w:rsidRDefault="00F9775B" w:rsidP="006C00A1">
      <w:pPr>
        <w:pStyle w:val="CVNormal"/>
        <w:spacing w:line="276" w:lineRule="auto"/>
        <w:jc w:val="both"/>
        <w:rPr>
          <w:rFonts w:ascii="Times New Roman" w:hAnsi="Times New Roman"/>
          <w:sz w:val="24"/>
          <w:szCs w:val="24"/>
        </w:rPr>
      </w:pPr>
      <w:r w:rsidRPr="00F20C1F">
        <w:rPr>
          <w:rFonts w:ascii="Times New Roman" w:hAnsi="Times New Roman"/>
          <w:sz w:val="24"/>
          <w:szCs w:val="24"/>
        </w:rPr>
        <w:t xml:space="preserve">Представените резюмета на научни трудове са общо </w:t>
      </w:r>
      <w:r w:rsidR="0063467C" w:rsidRPr="00F20C1F">
        <w:rPr>
          <w:rFonts w:ascii="Times New Roman" w:hAnsi="Times New Roman"/>
          <w:sz w:val="24"/>
          <w:szCs w:val="24"/>
          <w:lang w:val="en-US"/>
        </w:rPr>
        <w:t>2</w:t>
      </w:r>
      <w:r w:rsidR="0063467C" w:rsidRPr="00F20C1F">
        <w:rPr>
          <w:rFonts w:ascii="Times New Roman" w:hAnsi="Times New Roman"/>
          <w:sz w:val="24"/>
          <w:szCs w:val="24"/>
        </w:rPr>
        <w:t>3</w:t>
      </w:r>
      <w:r w:rsidRPr="00F20C1F">
        <w:rPr>
          <w:rFonts w:ascii="Times New Roman" w:hAnsi="Times New Roman"/>
          <w:sz w:val="24"/>
          <w:szCs w:val="24"/>
        </w:rPr>
        <w:t xml:space="preserve">, групирани в </w:t>
      </w:r>
      <w:r w:rsidR="00685495" w:rsidRPr="00F20C1F">
        <w:rPr>
          <w:rFonts w:ascii="Times New Roman" w:hAnsi="Times New Roman"/>
          <w:sz w:val="24"/>
          <w:szCs w:val="24"/>
        </w:rPr>
        <w:t>две</w:t>
      </w:r>
      <w:r w:rsidRPr="00F20C1F">
        <w:rPr>
          <w:rFonts w:ascii="Times New Roman" w:hAnsi="Times New Roman"/>
          <w:sz w:val="24"/>
          <w:szCs w:val="24"/>
        </w:rPr>
        <w:t xml:space="preserve"> части в съответствие с официалната Академичната справка, както следва:</w:t>
      </w:r>
    </w:p>
    <w:p w14:paraId="337E4BF8" w14:textId="0F3546E8" w:rsidR="00F9775B" w:rsidRPr="00F20C1F" w:rsidRDefault="00F9775B" w:rsidP="00685495">
      <w:pPr>
        <w:pStyle w:val="CVNormal"/>
        <w:spacing w:line="276" w:lineRule="auto"/>
        <w:jc w:val="both"/>
        <w:rPr>
          <w:rFonts w:ascii="Times New Roman" w:hAnsi="Times New Roman"/>
          <w:sz w:val="24"/>
          <w:szCs w:val="24"/>
        </w:rPr>
      </w:pPr>
    </w:p>
    <w:p w14:paraId="325CB57C" w14:textId="661B7CFD" w:rsidR="00F9775B" w:rsidRPr="00F20C1F" w:rsidRDefault="00F9775B" w:rsidP="00685495">
      <w:pPr>
        <w:pStyle w:val="CVNormal"/>
        <w:spacing w:line="276" w:lineRule="auto"/>
        <w:jc w:val="both"/>
        <w:rPr>
          <w:rFonts w:ascii="Times New Roman" w:hAnsi="Times New Roman"/>
          <w:b/>
          <w:bCs/>
          <w:sz w:val="24"/>
          <w:szCs w:val="24"/>
        </w:rPr>
      </w:pPr>
      <w:r w:rsidRPr="00F20C1F">
        <w:rPr>
          <w:rFonts w:ascii="Times New Roman" w:hAnsi="Times New Roman"/>
          <w:b/>
          <w:bCs/>
          <w:sz w:val="24"/>
          <w:szCs w:val="24"/>
        </w:rPr>
        <w:t>I. Научни трудове, покриващи минималните наукометрични изисквания за заемане</w:t>
      </w:r>
      <w:r w:rsidR="0063467C" w:rsidRPr="00F20C1F">
        <w:rPr>
          <w:rFonts w:ascii="Times New Roman" w:hAnsi="Times New Roman"/>
          <w:b/>
          <w:bCs/>
          <w:sz w:val="24"/>
          <w:szCs w:val="24"/>
          <w:lang w:val="en-US"/>
        </w:rPr>
        <w:t xml:space="preserve"> </w:t>
      </w:r>
      <w:r w:rsidRPr="00F20C1F">
        <w:rPr>
          <w:rFonts w:ascii="Times New Roman" w:hAnsi="Times New Roman"/>
          <w:b/>
          <w:bCs/>
          <w:sz w:val="24"/>
          <w:szCs w:val="24"/>
        </w:rPr>
        <w:t xml:space="preserve">на АД „доцент“ – </w:t>
      </w:r>
      <w:r w:rsidR="0063467C" w:rsidRPr="00F20C1F">
        <w:rPr>
          <w:rFonts w:ascii="Times New Roman" w:hAnsi="Times New Roman"/>
          <w:b/>
          <w:bCs/>
          <w:sz w:val="24"/>
          <w:szCs w:val="24"/>
        </w:rPr>
        <w:t>21</w:t>
      </w:r>
      <w:r w:rsidRPr="00F20C1F">
        <w:rPr>
          <w:rFonts w:ascii="Times New Roman" w:hAnsi="Times New Roman"/>
          <w:b/>
          <w:bCs/>
          <w:sz w:val="24"/>
          <w:szCs w:val="24"/>
        </w:rPr>
        <w:t xml:space="preserve"> бр.</w:t>
      </w:r>
    </w:p>
    <w:p w14:paraId="29AB3129" w14:textId="77777777" w:rsidR="00F9775B" w:rsidRPr="00F20C1F" w:rsidRDefault="00F9775B" w:rsidP="00685495">
      <w:pPr>
        <w:pStyle w:val="CVNormal"/>
        <w:spacing w:line="276" w:lineRule="auto"/>
        <w:jc w:val="both"/>
        <w:rPr>
          <w:rFonts w:ascii="Times New Roman" w:hAnsi="Times New Roman"/>
          <w:sz w:val="24"/>
          <w:szCs w:val="24"/>
        </w:rPr>
      </w:pPr>
      <w:r w:rsidRPr="00F20C1F">
        <w:rPr>
          <w:rFonts w:ascii="Times New Roman" w:hAnsi="Times New Roman"/>
          <w:sz w:val="24"/>
          <w:szCs w:val="24"/>
        </w:rPr>
        <w:t>Показател A1. Дисертационен труд за придобиване на ОНС „доктор“ – 1 бр.</w:t>
      </w:r>
    </w:p>
    <w:p w14:paraId="06914661" w14:textId="7AB69E54" w:rsidR="0063467C" w:rsidRPr="00F20C1F" w:rsidRDefault="00F9775B" w:rsidP="0063467C">
      <w:pPr>
        <w:pStyle w:val="CVNormal"/>
        <w:spacing w:line="276" w:lineRule="auto"/>
        <w:jc w:val="both"/>
        <w:rPr>
          <w:rFonts w:ascii="Times New Roman" w:hAnsi="Times New Roman"/>
          <w:sz w:val="24"/>
          <w:szCs w:val="24"/>
        </w:rPr>
      </w:pPr>
      <w:r w:rsidRPr="00F20C1F">
        <w:rPr>
          <w:rFonts w:ascii="Times New Roman" w:hAnsi="Times New Roman"/>
          <w:sz w:val="24"/>
          <w:szCs w:val="24"/>
        </w:rPr>
        <w:t>Показател В</w:t>
      </w:r>
      <w:r w:rsidR="00685495" w:rsidRPr="00F20C1F">
        <w:rPr>
          <w:rFonts w:ascii="Times New Roman" w:hAnsi="Times New Roman"/>
          <w:sz w:val="24"/>
          <w:szCs w:val="24"/>
          <w:lang w:val="en-US"/>
        </w:rPr>
        <w:t xml:space="preserve">4. </w:t>
      </w:r>
      <w:r w:rsidR="0063467C" w:rsidRPr="00F20C1F">
        <w:rPr>
          <w:rFonts w:ascii="Times New Roman" w:hAnsi="Times New Roman"/>
          <w:sz w:val="24"/>
          <w:szCs w:val="24"/>
        </w:rPr>
        <w:t>Научни публикации в издания, които са реферирани и индексирани в световноизвестни бази данни с научна информация (Web of</w:t>
      </w:r>
    </w:p>
    <w:p w14:paraId="2789C6F1" w14:textId="4AE4EA83" w:rsidR="00F9775B" w:rsidRPr="00F20C1F" w:rsidRDefault="0063467C" w:rsidP="0063467C">
      <w:pPr>
        <w:pStyle w:val="CVNormal"/>
        <w:spacing w:line="276" w:lineRule="auto"/>
        <w:jc w:val="both"/>
        <w:rPr>
          <w:rFonts w:ascii="Times New Roman" w:hAnsi="Times New Roman"/>
          <w:sz w:val="24"/>
          <w:szCs w:val="24"/>
        </w:rPr>
      </w:pPr>
      <w:r w:rsidRPr="00F20C1F">
        <w:rPr>
          <w:rFonts w:ascii="Times New Roman" w:hAnsi="Times New Roman"/>
          <w:sz w:val="24"/>
          <w:szCs w:val="24"/>
        </w:rPr>
        <w:t xml:space="preserve">Science и Scopus) </w:t>
      </w:r>
      <w:r w:rsidR="00F9775B" w:rsidRPr="00F20C1F">
        <w:rPr>
          <w:rFonts w:ascii="Times New Roman" w:hAnsi="Times New Roman"/>
          <w:sz w:val="24"/>
          <w:szCs w:val="24"/>
        </w:rPr>
        <w:t xml:space="preserve">– </w:t>
      </w:r>
      <w:r w:rsidRPr="00F20C1F">
        <w:rPr>
          <w:rFonts w:ascii="Times New Roman" w:hAnsi="Times New Roman"/>
          <w:sz w:val="24"/>
          <w:szCs w:val="24"/>
          <w:lang w:val="en-US"/>
        </w:rPr>
        <w:t>5</w:t>
      </w:r>
      <w:r w:rsidR="00685495" w:rsidRPr="00F20C1F">
        <w:rPr>
          <w:rFonts w:ascii="Times New Roman" w:hAnsi="Times New Roman"/>
          <w:sz w:val="24"/>
          <w:szCs w:val="24"/>
          <w:lang w:val="en-US"/>
        </w:rPr>
        <w:t xml:space="preserve"> </w:t>
      </w:r>
      <w:r w:rsidR="00F9775B" w:rsidRPr="00F20C1F">
        <w:rPr>
          <w:rFonts w:ascii="Times New Roman" w:hAnsi="Times New Roman"/>
          <w:sz w:val="24"/>
          <w:szCs w:val="24"/>
        </w:rPr>
        <w:t>бр.</w:t>
      </w:r>
    </w:p>
    <w:p w14:paraId="5E33860D" w14:textId="7FA42581" w:rsidR="0063467C" w:rsidRPr="00F20C1F" w:rsidRDefault="00F9775B" w:rsidP="0063467C">
      <w:pPr>
        <w:pStyle w:val="CVNormal"/>
        <w:spacing w:line="276" w:lineRule="auto"/>
        <w:jc w:val="both"/>
        <w:rPr>
          <w:rFonts w:ascii="Times New Roman" w:hAnsi="Times New Roman"/>
          <w:sz w:val="24"/>
          <w:szCs w:val="24"/>
        </w:rPr>
      </w:pPr>
      <w:r w:rsidRPr="00F20C1F">
        <w:rPr>
          <w:rFonts w:ascii="Times New Roman" w:hAnsi="Times New Roman"/>
          <w:sz w:val="24"/>
          <w:szCs w:val="24"/>
        </w:rPr>
        <w:t>Показател Г7.</w:t>
      </w:r>
      <w:r w:rsidR="00685495" w:rsidRPr="00F20C1F">
        <w:rPr>
          <w:rFonts w:ascii="Times New Roman" w:hAnsi="Times New Roman"/>
          <w:sz w:val="24"/>
          <w:szCs w:val="24"/>
        </w:rPr>
        <w:t xml:space="preserve"> </w:t>
      </w:r>
      <w:r w:rsidR="0063467C" w:rsidRPr="00F20C1F">
        <w:rPr>
          <w:rFonts w:ascii="Times New Roman" w:hAnsi="Times New Roman"/>
          <w:sz w:val="24"/>
          <w:szCs w:val="24"/>
        </w:rPr>
        <w:t>Научни публикации, публикувани в издания, реферирани и</w:t>
      </w:r>
    </w:p>
    <w:p w14:paraId="0BDA85FC" w14:textId="298F48A4" w:rsidR="0063467C" w:rsidRPr="00F20C1F" w:rsidRDefault="0063467C" w:rsidP="0063467C">
      <w:pPr>
        <w:pStyle w:val="CVNormal"/>
        <w:spacing w:line="276" w:lineRule="auto"/>
        <w:jc w:val="both"/>
        <w:rPr>
          <w:rFonts w:ascii="Times New Roman" w:hAnsi="Times New Roman"/>
          <w:sz w:val="24"/>
          <w:szCs w:val="24"/>
        </w:rPr>
      </w:pPr>
      <w:r w:rsidRPr="00F20C1F">
        <w:rPr>
          <w:rFonts w:ascii="Times New Roman" w:hAnsi="Times New Roman"/>
          <w:sz w:val="24"/>
          <w:szCs w:val="24"/>
        </w:rPr>
        <w:t>индексирани в световноизвестни бази данни с научна информация (Web of</w:t>
      </w:r>
    </w:p>
    <w:p w14:paraId="09EDF5A5" w14:textId="78E2890D" w:rsidR="00F9775B" w:rsidRPr="00F20C1F" w:rsidRDefault="0063467C" w:rsidP="0063467C">
      <w:pPr>
        <w:pStyle w:val="CVNormal"/>
        <w:spacing w:line="276" w:lineRule="auto"/>
        <w:jc w:val="both"/>
        <w:rPr>
          <w:rFonts w:ascii="Times New Roman" w:hAnsi="Times New Roman"/>
          <w:sz w:val="24"/>
          <w:szCs w:val="24"/>
        </w:rPr>
      </w:pPr>
      <w:r w:rsidRPr="00F20C1F">
        <w:rPr>
          <w:rFonts w:ascii="Times New Roman" w:hAnsi="Times New Roman"/>
          <w:sz w:val="24"/>
          <w:szCs w:val="24"/>
        </w:rPr>
        <w:t xml:space="preserve">Science и Scopus) </w:t>
      </w:r>
      <w:r w:rsidR="00685495" w:rsidRPr="00F20C1F">
        <w:rPr>
          <w:rFonts w:ascii="Times New Roman" w:hAnsi="Times New Roman"/>
          <w:sz w:val="24"/>
          <w:szCs w:val="24"/>
          <w:lang w:val="en-US"/>
        </w:rPr>
        <w:t>– 1</w:t>
      </w:r>
      <w:r w:rsidRPr="00F20C1F">
        <w:rPr>
          <w:rFonts w:ascii="Times New Roman" w:hAnsi="Times New Roman"/>
          <w:sz w:val="24"/>
          <w:szCs w:val="24"/>
          <w:lang w:val="en-US"/>
        </w:rPr>
        <w:t>5</w:t>
      </w:r>
      <w:r w:rsidR="00685495" w:rsidRPr="00F20C1F">
        <w:rPr>
          <w:rFonts w:ascii="Times New Roman" w:hAnsi="Times New Roman"/>
          <w:sz w:val="24"/>
          <w:szCs w:val="24"/>
          <w:lang w:val="en-US"/>
        </w:rPr>
        <w:t xml:space="preserve"> </w:t>
      </w:r>
      <w:r w:rsidR="00685495" w:rsidRPr="00F20C1F">
        <w:rPr>
          <w:rFonts w:ascii="Times New Roman" w:hAnsi="Times New Roman"/>
          <w:sz w:val="24"/>
          <w:szCs w:val="24"/>
        </w:rPr>
        <w:t>бр.</w:t>
      </w:r>
    </w:p>
    <w:p w14:paraId="70C710E1" w14:textId="5104A83B" w:rsidR="00685495" w:rsidRPr="00F20C1F" w:rsidRDefault="00685495" w:rsidP="00685495">
      <w:pPr>
        <w:pStyle w:val="CVNormal"/>
        <w:spacing w:line="276" w:lineRule="auto"/>
        <w:jc w:val="both"/>
        <w:rPr>
          <w:rFonts w:ascii="Times New Roman" w:hAnsi="Times New Roman"/>
          <w:b/>
          <w:bCs/>
          <w:sz w:val="24"/>
          <w:szCs w:val="24"/>
        </w:rPr>
      </w:pPr>
      <w:r w:rsidRPr="00F20C1F">
        <w:rPr>
          <w:rFonts w:ascii="Times New Roman" w:hAnsi="Times New Roman"/>
          <w:b/>
          <w:bCs/>
          <w:sz w:val="24"/>
          <w:szCs w:val="24"/>
        </w:rPr>
        <w:t>I</w:t>
      </w:r>
      <w:r w:rsidRPr="00F20C1F">
        <w:rPr>
          <w:rFonts w:ascii="Times New Roman" w:hAnsi="Times New Roman"/>
          <w:b/>
          <w:bCs/>
          <w:sz w:val="24"/>
          <w:szCs w:val="24"/>
          <w:lang w:val="en-US"/>
        </w:rPr>
        <w:t>I</w:t>
      </w:r>
      <w:r w:rsidRPr="00F20C1F">
        <w:rPr>
          <w:rFonts w:ascii="Times New Roman" w:hAnsi="Times New Roman"/>
          <w:b/>
          <w:bCs/>
          <w:sz w:val="24"/>
          <w:szCs w:val="24"/>
        </w:rPr>
        <w:t>. Пълнотекстови публикации в научни списания и сборници, извън минималните</w:t>
      </w:r>
      <w:r w:rsidR="00161774" w:rsidRPr="00F20C1F">
        <w:rPr>
          <w:rFonts w:ascii="Times New Roman" w:hAnsi="Times New Roman"/>
          <w:b/>
          <w:bCs/>
          <w:sz w:val="24"/>
          <w:szCs w:val="24"/>
        </w:rPr>
        <w:t xml:space="preserve"> </w:t>
      </w:r>
      <w:r w:rsidRPr="00F20C1F">
        <w:rPr>
          <w:rFonts w:ascii="Times New Roman" w:hAnsi="Times New Roman"/>
          <w:b/>
          <w:bCs/>
          <w:sz w:val="24"/>
          <w:szCs w:val="24"/>
        </w:rPr>
        <w:t xml:space="preserve">наукометрични изисквания за заемане на АД „доцент“ – </w:t>
      </w:r>
      <w:r w:rsidRPr="00F20C1F">
        <w:rPr>
          <w:rFonts w:ascii="Times New Roman" w:hAnsi="Times New Roman"/>
          <w:b/>
          <w:bCs/>
          <w:sz w:val="24"/>
          <w:szCs w:val="24"/>
          <w:lang w:val="en-US"/>
        </w:rPr>
        <w:t xml:space="preserve"> </w:t>
      </w:r>
      <w:r w:rsidR="0063467C" w:rsidRPr="00F20C1F">
        <w:rPr>
          <w:rFonts w:ascii="Times New Roman" w:hAnsi="Times New Roman"/>
          <w:b/>
          <w:bCs/>
          <w:sz w:val="24"/>
          <w:szCs w:val="24"/>
        </w:rPr>
        <w:t>2 бр.</w:t>
      </w:r>
    </w:p>
    <w:p w14:paraId="589BB984" w14:textId="77777777" w:rsidR="00675A7D" w:rsidRPr="00F20C1F" w:rsidRDefault="00675A7D" w:rsidP="00685495">
      <w:pPr>
        <w:pStyle w:val="CVNormal"/>
        <w:spacing w:line="276" w:lineRule="auto"/>
        <w:jc w:val="both"/>
        <w:rPr>
          <w:rFonts w:ascii="Times New Roman" w:hAnsi="Times New Roman"/>
          <w:b/>
          <w:bCs/>
          <w:sz w:val="24"/>
          <w:szCs w:val="24"/>
        </w:rPr>
      </w:pPr>
    </w:p>
    <w:p w14:paraId="75DE6596" w14:textId="77777777" w:rsidR="00685495" w:rsidRPr="00F20C1F" w:rsidRDefault="00685495" w:rsidP="00685495">
      <w:pPr>
        <w:pStyle w:val="CVNormal"/>
        <w:jc w:val="both"/>
        <w:rPr>
          <w:rFonts w:ascii="Times New Roman" w:hAnsi="Times New Roman"/>
          <w:sz w:val="24"/>
          <w:szCs w:val="24"/>
        </w:rPr>
      </w:pPr>
    </w:p>
    <w:p w14:paraId="4CD2D4E6" w14:textId="3E669D9C" w:rsidR="00675A7D" w:rsidRPr="00F20C1F" w:rsidRDefault="00675A7D" w:rsidP="00D66BED">
      <w:pPr>
        <w:pStyle w:val="ListParagraph"/>
        <w:numPr>
          <w:ilvl w:val="0"/>
          <w:numId w:val="1"/>
        </w:numPr>
        <w:jc w:val="both"/>
        <w:rPr>
          <w:rFonts w:ascii="Times New Roman" w:hAnsi="Times New Roman" w:cs="Times New Roman"/>
          <w:b/>
          <w:bCs/>
          <w:sz w:val="24"/>
          <w:szCs w:val="24"/>
          <w:lang w:val="bg-BG"/>
        </w:rPr>
      </w:pPr>
      <w:r w:rsidRPr="00F20C1F">
        <w:rPr>
          <w:rFonts w:ascii="Times New Roman" w:hAnsi="Times New Roman" w:cs="Times New Roman"/>
          <w:b/>
          <w:bCs/>
          <w:sz w:val="24"/>
          <w:szCs w:val="24"/>
          <w:lang w:val="bg-BG"/>
        </w:rPr>
        <w:t>Научни трудове, покриващи минималните наукометрични изисквания за заемане на АД „доцент“ – 21 бр.</w:t>
      </w:r>
    </w:p>
    <w:p w14:paraId="02A8F860" w14:textId="77777777" w:rsidR="00420191" w:rsidRPr="00F20C1F" w:rsidRDefault="00420191" w:rsidP="00420191">
      <w:pPr>
        <w:pStyle w:val="ListParagraph"/>
        <w:jc w:val="both"/>
        <w:rPr>
          <w:rFonts w:ascii="Times New Roman" w:hAnsi="Times New Roman" w:cs="Times New Roman"/>
          <w:b/>
          <w:bCs/>
          <w:sz w:val="24"/>
          <w:szCs w:val="24"/>
          <w:lang w:val="bg-BG"/>
        </w:rPr>
      </w:pPr>
    </w:p>
    <w:p w14:paraId="60757C16" w14:textId="7D51F938" w:rsidR="00685495" w:rsidRPr="00F20C1F" w:rsidRDefault="00685495" w:rsidP="00675A7D">
      <w:pPr>
        <w:pStyle w:val="ListParagraph"/>
        <w:jc w:val="both"/>
        <w:rPr>
          <w:rFonts w:ascii="Times New Roman" w:hAnsi="Times New Roman" w:cs="Times New Roman"/>
          <w:b/>
          <w:bCs/>
          <w:i/>
          <w:iCs/>
          <w:sz w:val="24"/>
          <w:szCs w:val="24"/>
          <w:lang w:val="bg-BG"/>
        </w:rPr>
      </w:pPr>
      <w:proofErr w:type="spellStart"/>
      <w:r w:rsidRPr="00F20C1F">
        <w:rPr>
          <w:rFonts w:ascii="Times New Roman" w:hAnsi="Times New Roman"/>
          <w:b/>
          <w:bCs/>
          <w:i/>
          <w:iCs/>
          <w:sz w:val="24"/>
          <w:szCs w:val="24"/>
        </w:rPr>
        <w:t>Показател</w:t>
      </w:r>
      <w:proofErr w:type="spellEnd"/>
      <w:r w:rsidRPr="00F20C1F">
        <w:rPr>
          <w:rFonts w:ascii="Times New Roman" w:hAnsi="Times New Roman"/>
          <w:b/>
          <w:bCs/>
          <w:i/>
          <w:iCs/>
          <w:sz w:val="24"/>
          <w:szCs w:val="24"/>
        </w:rPr>
        <w:t xml:space="preserve"> A1. </w:t>
      </w:r>
      <w:proofErr w:type="spellStart"/>
      <w:r w:rsidRPr="00F20C1F">
        <w:rPr>
          <w:rFonts w:ascii="Times New Roman" w:hAnsi="Times New Roman"/>
          <w:b/>
          <w:bCs/>
          <w:i/>
          <w:iCs/>
          <w:sz w:val="24"/>
          <w:szCs w:val="24"/>
        </w:rPr>
        <w:t>Дисертационен</w:t>
      </w:r>
      <w:proofErr w:type="spellEnd"/>
      <w:r w:rsidRPr="00F20C1F">
        <w:rPr>
          <w:rFonts w:ascii="Times New Roman" w:hAnsi="Times New Roman"/>
          <w:b/>
          <w:bCs/>
          <w:i/>
          <w:iCs/>
          <w:sz w:val="24"/>
          <w:szCs w:val="24"/>
        </w:rPr>
        <w:t xml:space="preserve"> </w:t>
      </w:r>
      <w:proofErr w:type="spellStart"/>
      <w:r w:rsidRPr="00F20C1F">
        <w:rPr>
          <w:rFonts w:ascii="Times New Roman" w:hAnsi="Times New Roman"/>
          <w:b/>
          <w:bCs/>
          <w:i/>
          <w:iCs/>
          <w:sz w:val="24"/>
          <w:szCs w:val="24"/>
        </w:rPr>
        <w:t>труд</w:t>
      </w:r>
      <w:proofErr w:type="spellEnd"/>
      <w:r w:rsidRPr="00F20C1F">
        <w:rPr>
          <w:rFonts w:ascii="Times New Roman" w:hAnsi="Times New Roman"/>
          <w:b/>
          <w:bCs/>
          <w:i/>
          <w:iCs/>
          <w:sz w:val="24"/>
          <w:szCs w:val="24"/>
        </w:rPr>
        <w:t xml:space="preserve"> </w:t>
      </w:r>
      <w:proofErr w:type="spellStart"/>
      <w:r w:rsidRPr="00F20C1F">
        <w:rPr>
          <w:rFonts w:ascii="Times New Roman" w:hAnsi="Times New Roman"/>
          <w:b/>
          <w:bCs/>
          <w:i/>
          <w:iCs/>
          <w:sz w:val="24"/>
          <w:szCs w:val="24"/>
        </w:rPr>
        <w:t>за</w:t>
      </w:r>
      <w:proofErr w:type="spellEnd"/>
      <w:r w:rsidRPr="00F20C1F">
        <w:rPr>
          <w:rFonts w:ascii="Times New Roman" w:hAnsi="Times New Roman"/>
          <w:b/>
          <w:bCs/>
          <w:i/>
          <w:iCs/>
          <w:sz w:val="24"/>
          <w:szCs w:val="24"/>
        </w:rPr>
        <w:t xml:space="preserve"> </w:t>
      </w:r>
      <w:proofErr w:type="spellStart"/>
      <w:r w:rsidRPr="00F20C1F">
        <w:rPr>
          <w:rFonts w:ascii="Times New Roman" w:hAnsi="Times New Roman"/>
          <w:b/>
          <w:bCs/>
          <w:i/>
          <w:iCs/>
          <w:sz w:val="24"/>
          <w:szCs w:val="24"/>
        </w:rPr>
        <w:t>придобиване</w:t>
      </w:r>
      <w:proofErr w:type="spellEnd"/>
      <w:r w:rsidRPr="00F20C1F">
        <w:rPr>
          <w:rFonts w:ascii="Times New Roman" w:hAnsi="Times New Roman"/>
          <w:b/>
          <w:bCs/>
          <w:i/>
          <w:iCs/>
          <w:sz w:val="24"/>
          <w:szCs w:val="24"/>
        </w:rPr>
        <w:t xml:space="preserve"> </w:t>
      </w:r>
      <w:proofErr w:type="spellStart"/>
      <w:r w:rsidRPr="00F20C1F">
        <w:rPr>
          <w:rFonts w:ascii="Times New Roman" w:hAnsi="Times New Roman"/>
          <w:b/>
          <w:bCs/>
          <w:i/>
          <w:iCs/>
          <w:sz w:val="24"/>
          <w:szCs w:val="24"/>
        </w:rPr>
        <w:t>на</w:t>
      </w:r>
      <w:proofErr w:type="spellEnd"/>
      <w:r w:rsidRPr="00F20C1F">
        <w:rPr>
          <w:rFonts w:ascii="Times New Roman" w:hAnsi="Times New Roman"/>
          <w:b/>
          <w:bCs/>
          <w:i/>
          <w:iCs/>
          <w:sz w:val="24"/>
          <w:szCs w:val="24"/>
        </w:rPr>
        <w:t xml:space="preserve"> ОНС „</w:t>
      </w:r>
      <w:proofErr w:type="spellStart"/>
      <w:proofErr w:type="gramStart"/>
      <w:r w:rsidRPr="00F20C1F">
        <w:rPr>
          <w:rFonts w:ascii="Times New Roman" w:hAnsi="Times New Roman"/>
          <w:b/>
          <w:bCs/>
          <w:i/>
          <w:iCs/>
          <w:sz w:val="24"/>
          <w:szCs w:val="24"/>
        </w:rPr>
        <w:t>доктор</w:t>
      </w:r>
      <w:proofErr w:type="spellEnd"/>
      <w:r w:rsidRPr="00F20C1F">
        <w:rPr>
          <w:rFonts w:ascii="Times New Roman" w:hAnsi="Times New Roman"/>
          <w:b/>
          <w:bCs/>
          <w:i/>
          <w:iCs/>
          <w:sz w:val="24"/>
          <w:szCs w:val="24"/>
        </w:rPr>
        <w:t>“</w:t>
      </w:r>
      <w:proofErr w:type="gramEnd"/>
      <w:r w:rsidRPr="00F20C1F">
        <w:rPr>
          <w:rFonts w:ascii="Times New Roman" w:hAnsi="Times New Roman"/>
          <w:b/>
          <w:bCs/>
          <w:i/>
          <w:iCs/>
          <w:sz w:val="24"/>
          <w:szCs w:val="24"/>
          <w:lang w:val="bg-BG"/>
        </w:rPr>
        <w:t>.</w:t>
      </w:r>
    </w:p>
    <w:p w14:paraId="5E7B2EB7" w14:textId="3B754E3A" w:rsidR="00685495" w:rsidRPr="00932D29" w:rsidRDefault="00DC0BF2" w:rsidP="007E26E3">
      <w:pPr>
        <w:pStyle w:val="CVNormal"/>
        <w:numPr>
          <w:ilvl w:val="0"/>
          <w:numId w:val="5"/>
        </w:numPr>
        <w:jc w:val="both"/>
        <w:rPr>
          <w:rFonts w:ascii="Times New Roman" w:hAnsi="Times New Roman"/>
          <w:sz w:val="24"/>
          <w:szCs w:val="24"/>
        </w:rPr>
      </w:pPr>
      <w:r w:rsidRPr="00932D29">
        <w:rPr>
          <w:rFonts w:ascii="Times New Roman" w:hAnsi="Times New Roman"/>
          <w:b/>
          <w:sz w:val="24"/>
          <w:szCs w:val="24"/>
        </w:rPr>
        <w:t>Левкова</w:t>
      </w:r>
      <w:r w:rsidR="00685495" w:rsidRPr="00932D29">
        <w:rPr>
          <w:rFonts w:ascii="Times New Roman" w:hAnsi="Times New Roman"/>
          <w:b/>
          <w:sz w:val="24"/>
          <w:szCs w:val="24"/>
        </w:rPr>
        <w:t xml:space="preserve"> М.,</w:t>
      </w:r>
      <w:r w:rsidR="00685495" w:rsidRPr="00932D29">
        <w:rPr>
          <w:rFonts w:ascii="Times New Roman" w:hAnsi="Times New Roman"/>
          <w:sz w:val="24"/>
          <w:szCs w:val="24"/>
        </w:rPr>
        <w:t xml:space="preserve"> </w:t>
      </w:r>
      <w:r w:rsidR="00685495" w:rsidRPr="00932D29">
        <w:rPr>
          <w:rFonts w:ascii="Times New Roman" w:hAnsi="Times New Roman"/>
          <w:i/>
          <w:sz w:val="24"/>
          <w:szCs w:val="24"/>
        </w:rPr>
        <w:t>„</w:t>
      </w:r>
      <w:r w:rsidRPr="00932D29">
        <w:rPr>
          <w:rFonts w:ascii="Times New Roman" w:hAnsi="Times New Roman"/>
          <w:i/>
          <w:sz w:val="24"/>
          <w:szCs w:val="24"/>
        </w:rPr>
        <w:t>Молекулярно-генетични и имунологични биомаркери при медико-генетичното консултиране на семейства с инфертилитет</w:t>
      </w:r>
      <w:r w:rsidR="00685495" w:rsidRPr="00932D29">
        <w:rPr>
          <w:rFonts w:ascii="Times New Roman" w:hAnsi="Times New Roman"/>
          <w:i/>
          <w:sz w:val="24"/>
          <w:szCs w:val="24"/>
        </w:rPr>
        <w:t>“,</w:t>
      </w:r>
      <w:r w:rsidR="00685495" w:rsidRPr="00932D29">
        <w:rPr>
          <w:rFonts w:ascii="Times New Roman" w:hAnsi="Times New Roman"/>
          <w:sz w:val="24"/>
          <w:szCs w:val="24"/>
        </w:rPr>
        <w:t xml:space="preserve"> Дисертационен труд за присъждане на образователна и научна степен "Доктор", Варна, 2021, 1</w:t>
      </w:r>
      <w:r w:rsidRPr="00932D29">
        <w:rPr>
          <w:rFonts w:ascii="Times New Roman" w:hAnsi="Times New Roman"/>
          <w:sz w:val="24"/>
          <w:szCs w:val="24"/>
        </w:rPr>
        <w:t>27</w:t>
      </w:r>
      <w:r w:rsidR="00685495" w:rsidRPr="00932D29">
        <w:rPr>
          <w:rFonts w:ascii="Times New Roman" w:hAnsi="Times New Roman"/>
          <w:sz w:val="24"/>
          <w:szCs w:val="24"/>
        </w:rPr>
        <w:t xml:space="preserve"> стр.</w:t>
      </w:r>
    </w:p>
    <w:p w14:paraId="5A97BB7B" w14:textId="77777777" w:rsidR="00976718" w:rsidRPr="00F20C1F" w:rsidRDefault="00976718" w:rsidP="00976718">
      <w:pPr>
        <w:pStyle w:val="CVNormal"/>
        <w:ind w:left="833"/>
        <w:jc w:val="both"/>
        <w:rPr>
          <w:rFonts w:ascii="Times New Roman" w:hAnsi="Times New Roman"/>
          <w:sz w:val="24"/>
          <w:szCs w:val="24"/>
        </w:rPr>
      </w:pPr>
    </w:p>
    <w:p w14:paraId="143EB032" w14:textId="563F2083" w:rsidR="006C00A1" w:rsidRPr="00F20C1F" w:rsidRDefault="00407E3C" w:rsidP="00675A7D">
      <w:pPr>
        <w:pStyle w:val="ListParagraph"/>
        <w:numPr>
          <w:ilvl w:val="0"/>
          <w:numId w:val="28"/>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Анотация</w:t>
      </w:r>
      <w:r w:rsidR="006C00A1" w:rsidRPr="00F20C1F">
        <w:rPr>
          <w:rFonts w:ascii="Times New Roman" w:hAnsi="Times New Roman" w:cs="Times New Roman"/>
          <w:b/>
          <w:bCs/>
          <w:sz w:val="24"/>
          <w:szCs w:val="24"/>
          <w:lang w:val="bg-BG"/>
        </w:rPr>
        <w:t xml:space="preserve">: </w:t>
      </w:r>
      <w:r w:rsidR="00DC0BF2" w:rsidRPr="00F20C1F">
        <w:rPr>
          <w:rFonts w:ascii="Times New Roman" w:hAnsi="Times New Roman" w:cs="Times New Roman"/>
          <w:sz w:val="24"/>
          <w:szCs w:val="24"/>
          <w:lang w:val="bg-BG"/>
        </w:rPr>
        <w:t xml:space="preserve">Инфертилитетът е универсален, социално значим проблем с огромна клинична и генетична хетерогенност. Проучването е проспективно и е проведено </w:t>
      </w:r>
      <w:r w:rsidR="00DC0BF2" w:rsidRPr="00F20C1F">
        <w:rPr>
          <w:rFonts w:ascii="Times New Roman" w:hAnsi="Times New Roman" w:cs="Times New Roman"/>
          <w:sz w:val="24"/>
          <w:szCs w:val="24"/>
          <w:lang w:val="bg-BG"/>
        </w:rPr>
        <w:lastRenderedPageBreak/>
        <w:t>в Лаборатория по медицинска генетика на УМБАЛ „Св. Марина“ ЕАД–Варна. Петдесет участници от женски пол с повтарящи се спонтанни аборти и 50 контролни лица бяха изследвани за 14 bp инсерция/делеция варианта в HLA-G гена, както и за -308 GA варианта в TNF- алфа гена. Петдесет участници от мъжки пол с нарушена сперматогенеза и 20 контролни лица бяха изследвани за наличие на Y микроделеции, delF508, R117H мутациите и 5Т вариант в CFTR гена. Бяха установени двама пациенти с делеции в AZFc региона на Y хромозомата. Беше намерена сигнификантна разлика в разпределението на 5Т варианта в CFTR гена между двете групи и се потвърди потенциалната му роля за нарушена сперматогенеза. Беше открит само един пациент в хетерозиготно състояние с мутация del F508, което не може да се обвърже с клиничната диагноза – oлигозооспермия. Изследваният 14 bp инсерция/делеция вариант в HLA-G гена показа статистически значима разлика в разпределението между двете групи и инсерция вариантът в хомозиготен генотип се асоциира с по-висок риск за прекъсване на бременността. Не беше установена статистически значима зависимост между носителството на – 308 GA полиморфизма в TNF–алфа гена и риска за настъпване на спонтанен аборт в изследваната популация жени.</w:t>
      </w:r>
    </w:p>
    <w:p w14:paraId="0D03DDE0" w14:textId="77777777" w:rsidR="00DC0BF2" w:rsidRPr="00F20C1F" w:rsidRDefault="00DC0BF2" w:rsidP="00675A7D">
      <w:pPr>
        <w:pStyle w:val="ListParagraph"/>
        <w:ind w:left="993" w:hanging="142"/>
        <w:jc w:val="both"/>
        <w:rPr>
          <w:rFonts w:ascii="Times New Roman" w:hAnsi="Times New Roman" w:cs="Times New Roman"/>
          <w:sz w:val="24"/>
          <w:szCs w:val="24"/>
          <w:lang w:val="bg-BG"/>
        </w:rPr>
      </w:pPr>
    </w:p>
    <w:p w14:paraId="4840DE09" w14:textId="19FB953F" w:rsidR="00685495" w:rsidRPr="00F20C1F" w:rsidRDefault="00407E3C" w:rsidP="00675A7D">
      <w:pPr>
        <w:pStyle w:val="ListParagraph"/>
        <w:numPr>
          <w:ilvl w:val="0"/>
          <w:numId w:val="28"/>
        </w:numPr>
        <w:ind w:left="993" w:hanging="142"/>
        <w:jc w:val="both"/>
        <w:rPr>
          <w:rFonts w:ascii="Times New Roman" w:hAnsi="Times New Roman" w:cs="Times New Roman"/>
          <w:b/>
          <w:bCs/>
          <w:sz w:val="24"/>
          <w:szCs w:val="24"/>
          <w:highlight w:val="yellow"/>
          <w:lang w:val="bg-BG"/>
        </w:rPr>
      </w:pPr>
      <w:r w:rsidRPr="00932D29">
        <w:rPr>
          <w:rFonts w:ascii="Times New Roman" w:hAnsi="Times New Roman" w:cs="Times New Roman"/>
          <w:b/>
          <w:bCs/>
          <w:sz w:val="24"/>
          <w:szCs w:val="24"/>
        </w:rPr>
        <w:t>Annotation</w:t>
      </w:r>
      <w:r w:rsidR="006C00A1" w:rsidRPr="00932D29">
        <w:rPr>
          <w:rFonts w:ascii="Times New Roman" w:hAnsi="Times New Roman" w:cs="Times New Roman"/>
          <w:b/>
          <w:bCs/>
          <w:sz w:val="24"/>
          <w:szCs w:val="24"/>
        </w:rPr>
        <w:t>:</w:t>
      </w:r>
      <w:r w:rsidR="006C00A1" w:rsidRPr="00932D29">
        <w:rPr>
          <w:rFonts w:ascii="Times New Roman" w:hAnsi="Times New Roman" w:cs="Times New Roman"/>
          <w:b/>
          <w:bCs/>
          <w:sz w:val="24"/>
          <w:szCs w:val="24"/>
          <w:lang w:val="bg-BG"/>
        </w:rPr>
        <w:t xml:space="preserve"> </w:t>
      </w:r>
      <w:r w:rsidR="00976718" w:rsidRPr="00932D29">
        <w:rPr>
          <w:rFonts w:ascii="Times New Roman" w:hAnsi="Times New Roman" w:cs="Times New Roman"/>
          <w:b/>
          <w:bCs/>
          <w:sz w:val="24"/>
          <w:szCs w:val="24"/>
          <w:lang w:val="bg-BG"/>
        </w:rPr>
        <w:t xml:space="preserve"> </w:t>
      </w:r>
      <w:r w:rsidR="00976718" w:rsidRPr="00932D29">
        <w:rPr>
          <w:rFonts w:ascii="Times New Roman" w:hAnsi="Times New Roman" w:cs="Times New Roman"/>
          <w:sz w:val="24"/>
          <w:szCs w:val="24"/>
          <w:lang w:val="bg-BG"/>
        </w:rPr>
        <w:t>Infertility</w:t>
      </w:r>
      <w:r w:rsidR="00976718" w:rsidRPr="00F20C1F">
        <w:rPr>
          <w:rFonts w:ascii="Times New Roman" w:hAnsi="Times New Roman" w:cs="Times New Roman"/>
          <w:sz w:val="24"/>
          <w:szCs w:val="24"/>
          <w:lang w:val="bg-BG"/>
        </w:rPr>
        <w:t xml:space="preserve"> is a global, socially significant problem with great clinical and genetic heterogeneity. The study was prospective and was conducted in the Laboratory of Medical Genetics in University hospital </w:t>
      </w:r>
      <w:r w:rsidR="00932D29">
        <w:rPr>
          <w:rFonts w:ascii="Times New Roman" w:hAnsi="Times New Roman" w:cs="Times New Roman"/>
          <w:sz w:val="24"/>
          <w:szCs w:val="24"/>
        </w:rPr>
        <w:t>“</w:t>
      </w:r>
      <w:r w:rsidR="00976718" w:rsidRPr="00F20C1F">
        <w:rPr>
          <w:rFonts w:ascii="Times New Roman" w:hAnsi="Times New Roman" w:cs="Times New Roman"/>
          <w:sz w:val="24"/>
          <w:szCs w:val="24"/>
          <w:lang w:val="bg-BG"/>
        </w:rPr>
        <w:t>St Marina</w:t>
      </w:r>
      <w:r w:rsidR="00932D29">
        <w:rPr>
          <w:rFonts w:ascii="Times New Roman" w:hAnsi="Times New Roman" w:cs="Times New Roman"/>
          <w:sz w:val="24"/>
          <w:szCs w:val="24"/>
        </w:rPr>
        <w:t>”</w:t>
      </w:r>
      <w:r w:rsidR="00976718" w:rsidRPr="00F20C1F">
        <w:rPr>
          <w:rFonts w:ascii="Times New Roman" w:hAnsi="Times New Roman" w:cs="Times New Roman"/>
          <w:sz w:val="24"/>
          <w:szCs w:val="24"/>
          <w:lang w:val="bg-BG"/>
        </w:rPr>
        <w:t xml:space="preserve"> Varna. Fifty female participants with recurrent miscarriages and 50 control subjects were tested for 14 bp insertion/deletion variant in the HLA-G gene and the -308 GA variant in the TNF- alpha gene. Fifty male participants with impaired spermatogenesis and 20 control subjects were tested for the presence of Y microdeletions, delF508, R117H mutations, and 5Т variant in the CFTR gene. There were two males with a Y microdeletion in the AZFc region. As for the polymorphic variants in the CFTR gene, we found a statistically significant difference in the distribution of 5T variant between the two groups and it could be a reason for impaired spermatogenesis. Only one patient was a heterozygous carrier of the mutation del F508, which could not be linked to his clinical diagnosis oligozoospermia. The results from the present research showed that there was a significant difference in the distribution of the 14 bp insertion/deletion variant in the HLA-G gene among the two tested groups and that the insertion in homozygous state was associated with a higher risk for a miscarriage.</w:t>
      </w:r>
      <w:r w:rsidR="00932D29">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 xml:space="preserve">No statistically significant correlation was established between carrying the – 308 GA polymorphic variant in the TNF –alpha gene and the risk </w:t>
      </w:r>
      <w:r w:rsidR="00976718" w:rsidRPr="00F20C1F">
        <w:rPr>
          <w:rFonts w:ascii="Times New Roman" w:hAnsi="Times New Roman" w:cs="Times New Roman"/>
          <w:sz w:val="24"/>
          <w:szCs w:val="24"/>
        </w:rPr>
        <w:t>of</w:t>
      </w:r>
      <w:r w:rsidR="00976718" w:rsidRPr="00F20C1F">
        <w:rPr>
          <w:rFonts w:ascii="Times New Roman" w:hAnsi="Times New Roman" w:cs="Times New Roman"/>
          <w:sz w:val="24"/>
          <w:szCs w:val="24"/>
          <w:lang w:val="bg-BG"/>
        </w:rPr>
        <w:t xml:space="preserve"> a miscarriage in the tested population. Including the present molecular genetic and immunological markers in the routine tests offered to couples with reproductive problems could improve the process of medical genetic counseling, because it would give the opportunity for a more detailed analysis of the causes </w:t>
      </w:r>
      <w:r w:rsidR="00976718" w:rsidRPr="00F20C1F">
        <w:rPr>
          <w:rFonts w:ascii="Times New Roman" w:hAnsi="Times New Roman" w:cs="Times New Roman"/>
          <w:sz w:val="24"/>
          <w:szCs w:val="24"/>
        </w:rPr>
        <w:t>of</w:t>
      </w:r>
      <w:r w:rsidR="00976718" w:rsidRPr="00F20C1F">
        <w:rPr>
          <w:rFonts w:ascii="Times New Roman" w:hAnsi="Times New Roman" w:cs="Times New Roman"/>
          <w:sz w:val="24"/>
          <w:szCs w:val="24"/>
          <w:lang w:val="bg-BG"/>
        </w:rPr>
        <w:t xml:space="preserve"> recurrent miscarriages and impaired spermatogenesis.</w:t>
      </w:r>
    </w:p>
    <w:p w14:paraId="08EA26C7" w14:textId="77777777" w:rsidR="00976718" w:rsidRPr="00F20C1F" w:rsidRDefault="00976718" w:rsidP="00976718">
      <w:pPr>
        <w:pStyle w:val="ListParagraph"/>
        <w:ind w:left="1553"/>
        <w:jc w:val="both"/>
        <w:rPr>
          <w:rFonts w:ascii="Times New Roman" w:hAnsi="Times New Roman" w:cs="Times New Roman"/>
          <w:b/>
          <w:bCs/>
          <w:sz w:val="24"/>
          <w:szCs w:val="24"/>
          <w:highlight w:val="yellow"/>
          <w:lang w:val="bg-BG"/>
        </w:rPr>
      </w:pPr>
    </w:p>
    <w:p w14:paraId="78C0CB90" w14:textId="1D38DE87" w:rsidR="004E34A1" w:rsidRPr="00F20C1F" w:rsidRDefault="00685495" w:rsidP="00420191">
      <w:pPr>
        <w:pStyle w:val="ListParagraph"/>
        <w:jc w:val="both"/>
        <w:rPr>
          <w:rFonts w:ascii="Times New Roman" w:hAnsi="Times New Roman" w:cs="Times New Roman"/>
          <w:b/>
          <w:bCs/>
          <w:i/>
          <w:iCs/>
          <w:sz w:val="24"/>
          <w:szCs w:val="24"/>
          <w:lang w:val="bg-BG"/>
        </w:rPr>
      </w:pPr>
      <w:r w:rsidRPr="00F20C1F">
        <w:rPr>
          <w:rFonts w:ascii="Times New Roman" w:hAnsi="Times New Roman" w:cs="Times New Roman"/>
          <w:b/>
          <w:bCs/>
          <w:i/>
          <w:iCs/>
          <w:sz w:val="24"/>
          <w:szCs w:val="24"/>
          <w:lang w:val="bg-BG"/>
        </w:rPr>
        <w:t>Показател В4. Пълнотекстови публикации в издания, които са реферирани и индексирани в световноизвестни бази данни с научна информация.</w:t>
      </w:r>
    </w:p>
    <w:p w14:paraId="552AA920" w14:textId="77777777" w:rsidR="00420191" w:rsidRPr="00F20C1F" w:rsidRDefault="00420191" w:rsidP="00420191">
      <w:pPr>
        <w:pStyle w:val="ListParagraph"/>
        <w:jc w:val="both"/>
        <w:rPr>
          <w:rFonts w:ascii="Times New Roman" w:hAnsi="Times New Roman" w:cs="Times New Roman"/>
          <w:b/>
          <w:bCs/>
          <w:i/>
          <w:iCs/>
          <w:sz w:val="24"/>
          <w:szCs w:val="24"/>
          <w:lang w:val="bg-BG"/>
        </w:rPr>
      </w:pPr>
    </w:p>
    <w:p w14:paraId="20AA2263" w14:textId="6A15D4E5" w:rsidR="00976718" w:rsidRPr="00932D29" w:rsidRDefault="00976718" w:rsidP="00976718">
      <w:pPr>
        <w:pStyle w:val="ListParagraph"/>
        <w:numPr>
          <w:ilvl w:val="0"/>
          <w:numId w:val="29"/>
        </w:numPr>
        <w:jc w:val="both"/>
        <w:rPr>
          <w:rFonts w:ascii="Times New Roman" w:hAnsi="Times New Roman" w:cs="Times New Roman"/>
          <w:sz w:val="24"/>
          <w:szCs w:val="24"/>
          <w:lang w:val="bg-BG"/>
        </w:rPr>
      </w:pPr>
      <w:r w:rsidRPr="00932D29">
        <w:rPr>
          <w:rFonts w:ascii="Times New Roman" w:hAnsi="Times New Roman" w:cs="Times New Roman"/>
          <w:sz w:val="24"/>
          <w:szCs w:val="24"/>
          <w:lang w:val="bg-BG"/>
        </w:rPr>
        <w:t xml:space="preserve">Radanova M, Mihaylova G, Nazifova-Tasinova N, </w:t>
      </w:r>
      <w:r w:rsidRPr="00932D29">
        <w:rPr>
          <w:rFonts w:ascii="Times New Roman" w:hAnsi="Times New Roman" w:cs="Times New Roman"/>
          <w:b/>
          <w:bCs/>
          <w:sz w:val="24"/>
          <w:szCs w:val="24"/>
          <w:lang w:val="bg-BG"/>
        </w:rPr>
        <w:t>Levkova M</w:t>
      </w:r>
      <w:r w:rsidRPr="00932D29">
        <w:rPr>
          <w:rFonts w:ascii="Times New Roman" w:hAnsi="Times New Roman" w:cs="Times New Roman"/>
          <w:sz w:val="24"/>
          <w:szCs w:val="24"/>
          <w:lang w:val="bg-BG"/>
        </w:rPr>
        <w:t xml:space="preserve">, Tasinov O, Ivanova D, Mihaylova Z, Donev I. </w:t>
      </w:r>
      <w:r w:rsidRPr="00932D29">
        <w:rPr>
          <w:rFonts w:ascii="Times New Roman" w:hAnsi="Times New Roman" w:cs="Times New Roman"/>
          <w:i/>
          <w:iCs/>
          <w:sz w:val="24"/>
          <w:szCs w:val="24"/>
          <w:lang w:val="bg-BG"/>
        </w:rPr>
        <w:t>Oncogenic Functions and Clinical Significance of Circular RNAs in Colorectal Cancer</w:t>
      </w:r>
      <w:r w:rsidRPr="00932D29">
        <w:rPr>
          <w:rFonts w:ascii="Times New Roman" w:hAnsi="Times New Roman" w:cs="Times New Roman"/>
          <w:sz w:val="24"/>
          <w:szCs w:val="24"/>
          <w:lang w:val="bg-BG"/>
        </w:rPr>
        <w:t>. Cancers. 2021 Jan;13(14):3395. (IF  6.639) Q1</w:t>
      </w:r>
    </w:p>
    <w:p w14:paraId="3D39BF71" w14:textId="3C2ECF2D" w:rsidR="006C00A1" w:rsidRPr="00F20C1F" w:rsidRDefault="006C00A1" w:rsidP="00675A7D">
      <w:pPr>
        <w:pStyle w:val="ListParagraph"/>
        <w:numPr>
          <w:ilvl w:val="0"/>
          <w:numId w:val="30"/>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675A7D" w:rsidRPr="00F20C1F">
        <w:rPr>
          <w:rFonts w:ascii="Times New Roman" w:hAnsi="Times New Roman" w:cs="Times New Roman"/>
          <w:sz w:val="24"/>
          <w:szCs w:val="24"/>
          <w:lang w:val="bg-BG"/>
        </w:rPr>
        <w:t>Колоректалният рак (КРР) е на второ място по честота на диагностициране при жените и на трето при мъжете в свет</w:t>
      </w:r>
      <w:r w:rsidR="00932D29">
        <w:rPr>
          <w:rFonts w:ascii="Times New Roman" w:hAnsi="Times New Roman" w:cs="Times New Roman"/>
          <w:sz w:val="24"/>
          <w:szCs w:val="24"/>
          <w:lang w:val="bg-BG"/>
        </w:rPr>
        <w:t>овен мащаб</w:t>
      </w:r>
      <w:r w:rsidR="00675A7D" w:rsidRPr="00F20C1F">
        <w:rPr>
          <w:rFonts w:ascii="Times New Roman" w:hAnsi="Times New Roman" w:cs="Times New Roman"/>
          <w:sz w:val="24"/>
          <w:szCs w:val="24"/>
          <w:lang w:val="bg-BG"/>
        </w:rPr>
        <w:t xml:space="preserve">. Ето защо намирането на нови, по-надеждни биомаркери за ранна диагностика, за прогнозиране на метастазите и резистентността към конвенционалните терапии е важно предизвикателство </w:t>
      </w:r>
      <w:r w:rsidR="00932D29">
        <w:rPr>
          <w:rFonts w:ascii="Times New Roman" w:hAnsi="Times New Roman" w:cs="Times New Roman"/>
          <w:sz w:val="24"/>
          <w:szCs w:val="24"/>
          <w:lang w:val="bg-BG"/>
        </w:rPr>
        <w:t>по пътя към</w:t>
      </w:r>
      <w:r w:rsidR="00675A7D" w:rsidRPr="00F20C1F">
        <w:rPr>
          <w:rFonts w:ascii="Times New Roman" w:hAnsi="Times New Roman" w:cs="Times New Roman"/>
          <w:sz w:val="24"/>
          <w:szCs w:val="24"/>
          <w:lang w:val="bg-BG"/>
        </w:rPr>
        <w:t xml:space="preserve"> </w:t>
      </w:r>
      <w:r w:rsidR="00932D29">
        <w:rPr>
          <w:rFonts w:ascii="Times New Roman" w:hAnsi="Times New Roman" w:cs="Times New Roman"/>
          <w:sz w:val="24"/>
          <w:szCs w:val="24"/>
          <w:lang w:val="bg-BG"/>
        </w:rPr>
        <w:t>лечението</w:t>
      </w:r>
      <w:r w:rsidR="00675A7D" w:rsidRPr="00F20C1F">
        <w:rPr>
          <w:rFonts w:ascii="Times New Roman" w:hAnsi="Times New Roman" w:cs="Times New Roman"/>
          <w:sz w:val="24"/>
          <w:szCs w:val="24"/>
          <w:lang w:val="bg-BG"/>
        </w:rPr>
        <w:t xml:space="preserve"> на </w:t>
      </w:r>
      <w:r w:rsidR="00932D29">
        <w:rPr>
          <w:rFonts w:ascii="Times New Roman" w:hAnsi="Times New Roman" w:cs="Times New Roman"/>
          <w:sz w:val="24"/>
          <w:szCs w:val="24"/>
          <w:lang w:val="bg-BG"/>
        </w:rPr>
        <w:t xml:space="preserve">това </w:t>
      </w:r>
      <w:r w:rsidR="00675A7D" w:rsidRPr="00F20C1F">
        <w:rPr>
          <w:rFonts w:ascii="Times New Roman" w:hAnsi="Times New Roman" w:cs="Times New Roman"/>
          <w:sz w:val="24"/>
          <w:szCs w:val="24"/>
          <w:lang w:val="bg-BG"/>
        </w:rPr>
        <w:t xml:space="preserve">заболяване. Настоящият </w:t>
      </w:r>
      <w:r w:rsidR="00932D29">
        <w:rPr>
          <w:rFonts w:ascii="Times New Roman" w:hAnsi="Times New Roman" w:cs="Times New Roman"/>
          <w:sz w:val="24"/>
          <w:szCs w:val="24"/>
          <w:lang w:val="bg-BG"/>
        </w:rPr>
        <w:t>обзор</w:t>
      </w:r>
      <w:r w:rsidR="00675A7D" w:rsidRPr="00F20C1F">
        <w:rPr>
          <w:rFonts w:ascii="Times New Roman" w:hAnsi="Times New Roman" w:cs="Times New Roman"/>
          <w:sz w:val="24"/>
          <w:szCs w:val="24"/>
          <w:lang w:val="bg-BG"/>
        </w:rPr>
        <w:t xml:space="preserve"> представя </w:t>
      </w:r>
      <w:r w:rsidR="00932D29">
        <w:rPr>
          <w:rFonts w:ascii="Times New Roman" w:hAnsi="Times New Roman" w:cs="Times New Roman"/>
          <w:sz w:val="24"/>
          <w:szCs w:val="24"/>
          <w:lang w:val="bg-BG"/>
        </w:rPr>
        <w:t>кръговите</w:t>
      </w:r>
      <w:r w:rsidR="00675A7D" w:rsidRPr="00F20C1F">
        <w:rPr>
          <w:rFonts w:ascii="Times New Roman" w:hAnsi="Times New Roman" w:cs="Times New Roman"/>
          <w:sz w:val="24"/>
          <w:szCs w:val="24"/>
          <w:lang w:val="bg-BG"/>
        </w:rPr>
        <w:t xml:space="preserve"> РНК (circRNAs) с техните уникални характеристики като потенциални прогностични и диагностични биомаркери при </w:t>
      </w:r>
      <w:r w:rsidR="00932D29">
        <w:rPr>
          <w:rFonts w:ascii="Times New Roman" w:hAnsi="Times New Roman" w:cs="Times New Roman"/>
          <w:sz w:val="24"/>
          <w:szCs w:val="24"/>
          <w:lang w:val="bg-BG"/>
        </w:rPr>
        <w:t>КРР</w:t>
      </w:r>
      <w:r w:rsidR="00675A7D" w:rsidRPr="00F20C1F">
        <w:rPr>
          <w:rFonts w:ascii="Times New Roman" w:hAnsi="Times New Roman" w:cs="Times New Roman"/>
          <w:sz w:val="24"/>
          <w:szCs w:val="24"/>
          <w:lang w:val="bg-BG"/>
        </w:rPr>
        <w:t xml:space="preserve">. </w:t>
      </w:r>
      <w:r w:rsidR="00932D29">
        <w:rPr>
          <w:rFonts w:ascii="Times New Roman" w:hAnsi="Times New Roman" w:cs="Times New Roman"/>
          <w:sz w:val="24"/>
          <w:szCs w:val="24"/>
          <w:lang w:val="bg-BG"/>
        </w:rPr>
        <w:t>Обзорът</w:t>
      </w:r>
      <w:r w:rsidR="00675A7D" w:rsidRPr="00F20C1F">
        <w:rPr>
          <w:rFonts w:ascii="Times New Roman" w:hAnsi="Times New Roman" w:cs="Times New Roman"/>
          <w:sz w:val="24"/>
          <w:szCs w:val="24"/>
          <w:lang w:val="bg-BG"/>
        </w:rPr>
        <w:t xml:space="preserve"> акцентира върху механизма на действие и ролята на </w:t>
      </w:r>
      <w:proofErr w:type="spellStart"/>
      <w:r w:rsidR="00932D29">
        <w:rPr>
          <w:rFonts w:ascii="Times New Roman" w:hAnsi="Times New Roman" w:cs="Times New Roman"/>
          <w:sz w:val="24"/>
          <w:szCs w:val="24"/>
        </w:rPr>
        <w:t>circRNA</w:t>
      </w:r>
      <w:proofErr w:type="spellEnd"/>
      <w:r w:rsidR="00675A7D" w:rsidRPr="00F20C1F">
        <w:rPr>
          <w:rFonts w:ascii="Times New Roman" w:hAnsi="Times New Roman" w:cs="Times New Roman"/>
          <w:sz w:val="24"/>
          <w:szCs w:val="24"/>
          <w:lang w:val="bg-BG"/>
        </w:rPr>
        <w:t xml:space="preserve"> с онкогенни функции в </w:t>
      </w:r>
      <w:r w:rsidR="00932D29">
        <w:rPr>
          <w:rFonts w:ascii="Times New Roman" w:hAnsi="Times New Roman" w:cs="Times New Roman"/>
          <w:sz w:val="24"/>
          <w:szCs w:val="24"/>
          <w:lang w:val="bg-BG"/>
        </w:rPr>
        <w:t>КРР</w:t>
      </w:r>
      <w:r w:rsidR="00675A7D" w:rsidRPr="00F20C1F">
        <w:rPr>
          <w:rFonts w:ascii="Times New Roman" w:hAnsi="Times New Roman" w:cs="Times New Roman"/>
          <w:sz w:val="24"/>
          <w:szCs w:val="24"/>
          <w:lang w:val="bg-BG"/>
        </w:rPr>
        <w:t xml:space="preserve">, както и върху връзката между тяхната експресия и клиникопатологичните характеристики на пациентите с </w:t>
      </w:r>
      <w:r w:rsidR="00932D29">
        <w:rPr>
          <w:rFonts w:ascii="Times New Roman" w:hAnsi="Times New Roman" w:cs="Times New Roman"/>
          <w:sz w:val="24"/>
          <w:szCs w:val="24"/>
          <w:lang w:val="bg-BG"/>
        </w:rPr>
        <w:t>КРР</w:t>
      </w:r>
      <w:r w:rsidR="00675A7D" w:rsidRPr="00F20C1F">
        <w:rPr>
          <w:rFonts w:ascii="Times New Roman" w:hAnsi="Times New Roman" w:cs="Times New Roman"/>
          <w:sz w:val="24"/>
          <w:szCs w:val="24"/>
          <w:lang w:val="bg-BG"/>
        </w:rPr>
        <w:t xml:space="preserve">. Разбирането на ролята на онкогенните </w:t>
      </w:r>
      <w:proofErr w:type="spellStart"/>
      <w:r w:rsidR="00932D29">
        <w:rPr>
          <w:rFonts w:ascii="Times New Roman" w:hAnsi="Times New Roman" w:cs="Times New Roman"/>
          <w:sz w:val="24"/>
          <w:szCs w:val="24"/>
        </w:rPr>
        <w:t>circRNA</w:t>
      </w:r>
      <w:proofErr w:type="spellEnd"/>
      <w:r w:rsidR="00932D29" w:rsidRPr="00F20C1F">
        <w:rPr>
          <w:rFonts w:ascii="Times New Roman" w:hAnsi="Times New Roman" w:cs="Times New Roman"/>
          <w:sz w:val="24"/>
          <w:szCs w:val="24"/>
          <w:lang w:val="bg-BG"/>
        </w:rPr>
        <w:t xml:space="preserve"> </w:t>
      </w:r>
      <w:r w:rsidR="00675A7D" w:rsidRPr="00F20C1F">
        <w:rPr>
          <w:rFonts w:ascii="Times New Roman" w:hAnsi="Times New Roman" w:cs="Times New Roman"/>
          <w:sz w:val="24"/>
          <w:szCs w:val="24"/>
          <w:lang w:val="bg-BG"/>
        </w:rPr>
        <w:t>в патогенезата на КР</w:t>
      </w:r>
      <w:r w:rsidR="00932D29">
        <w:rPr>
          <w:rFonts w:ascii="Times New Roman" w:hAnsi="Times New Roman" w:cs="Times New Roman"/>
          <w:sz w:val="24"/>
          <w:szCs w:val="24"/>
          <w:lang w:val="bg-BG"/>
        </w:rPr>
        <w:t>Р</w:t>
      </w:r>
      <w:r w:rsidR="00675A7D" w:rsidRPr="00F20C1F">
        <w:rPr>
          <w:rFonts w:ascii="Times New Roman" w:hAnsi="Times New Roman" w:cs="Times New Roman"/>
          <w:sz w:val="24"/>
          <w:szCs w:val="24"/>
          <w:lang w:val="bg-BG"/>
        </w:rPr>
        <w:t xml:space="preserve"> нараства бързо и следващата стъпка е използването им като подходящи нови лекарствени цели в персонализираното лечение на пациенти с КР</w:t>
      </w:r>
      <w:r w:rsidR="00932D29">
        <w:rPr>
          <w:rFonts w:ascii="Times New Roman" w:hAnsi="Times New Roman" w:cs="Times New Roman"/>
          <w:sz w:val="24"/>
          <w:szCs w:val="24"/>
          <w:lang w:val="bg-BG"/>
        </w:rPr>
        <w:t>Р</w:t>
      </w:r>
      <w:r w:rsidR="00675A7D" w:rsidRPr="00F20C1F">
        <w:rPr>
          <w:rFonts w:ascii="Times New Roman" w:hAnsi="Times New Roman" w:cs="Times New Roman"/>
          <w:sz w:val="24"/>
          <w:szCs w:val="24"/>
          <w:lang w:val="bg-BG"/>
        </w:rPr>
        <w:t>.</w:t>
      </w:r>
    </w:p>
    <w:p w14:paraId="3901600F" w14:textId="77777777" w:rsidR="00675A7D" w:rsidRPr="00F20C1F" w:rsidRDefault="00675A7D" w:rsidP="00675A7D">
      <w:pPr>
        <w:pStyle w:val="ListParagraph"/>
        <w:ind w:left="993"/>
        <w:jc w:val="both"/>
        <w:rPr>
          <w:rFonts w:ascii="Times New Roman" w:hAnsi="Times New Roman" w:cs="Times New Roman"/>
          <w:sz w:val="24"/>
          <w:szCs w:val="24"/>
          <w:lang w:val="bg-BG"/>
        </w:rPr>
      </w:pPr>
    </w:p>
    <w:p w14:paraId="1C56645C" w14:textId="65C2E6B7" w:rsidR="00685495" w:rsidRPr="00F20C1F" w:rsidRDefault="006C00A1" w:rsidP="00675A7D">
      <w:pPr>
        <w:pStyle w:val="ListParagraph"/>
        <w:numPr>
          <w:ilvl w:val="0"/>
          <w:numId w:val="30"/>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976718" w:rsidRPr="00F20C1F">
        <w:rPr>
          <w:rFonts w:ascii="Times New Roman" w:hAnsi="Times New Roman" w:cs="Times New Roman"/>
          <w:sz w:val="24"/>
          <w:szCs w:val="24"/>
          <w:lang w:val="bg-BG"/>
        </w:rPr>
        <w:t>Colorectal cancer (CRC) is ranked as the second most commonly diagnosed disease in</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females and the third in males worldwide. Therefore, the finding of new more reliable biomarkers for</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early diagnosis, for prediction of metastasis, and resistance to conventional therapies is an important</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challenge in overcoming the disease. The current review presents circular RNAs (circRNAs) with their</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unique features as potential prognostic and diagnostic biomarkers in CRC. The review highlights the</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mechanism of action and the role of circRNAs with oncogenic functions in the CRC as well as the</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association between their expression and clinicopathological characteristics of CRC patients. The</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comprehension of the role of oncogenic circRNAs in CRC pathogenesis is growing rapidly and the</w:t>
      </w:r>
      <w:r w:rsidR="00976718" w:rsidRPr="00F20C1F">
        <w:rPr>
          <w:rFonts w:ascii="Times New Roman" w:hAnsi="Times New Roman" w:cs="Times New Roman"/>
          <w:sz w:val="24"/>
          <w:szCs w:val="24"/>
        </w:rPr>
        <w:t xml:space="preserve"> </w:t>
      </w:r>
      <w:r w:rsidR="00976718" w:rsidRPr="00F20C1F">
        <w:rPr>
          <w:rFonts w:ascii="Times New Roman" w:hAnsi="Times New Roman" w:cs="Times New Roman"/>
          <w:sz w:val="24"/>
          <w:szCs w:val="24"/>
          <w:lang w:val="bg-BG"/>
        </w:rPr>
        <w:t>next step is using them as suitable new drug targets in the personalized treatment of CRC patients</w:t>
      </w:r>
      <w:r w:rsidR="00976718" w:rsidRPr="00F20C1F">
        <w:rPr>
          <w:rFonts w:ascii="Times New Roman" w:hAnsi="Times New Roman" w:cs="Times New Roman"/>
          <w:sz w:val="24"/>
          <w:szCs w:val="24"/>
        </w:rPr>
        <w:t xml:space="preserve">. </w:t>
      </w:r>
    </w:p>
    <w:p w14:paraId="0E3D34B3" w14:textId="77777777" w:rsidR="00976718" w:rsidRPr="00F20C1F" w:rsidRDefault="00976718" w:rsidP="00675A7D">
      <w:pPr>
        <w:pStyle w:val="ListParagraph"/>
        <w:ind w:left="993" w:hanging="142"/>
        <w:jc w:val="both"/>
        <w:rPr>
          <w:rFonts w:ascii="Times New Roman" w:hAnsi="Times New Roman" w:cs="Times New Roman"/>
          <w:sz w:val="24"/>
          <w:szCs w:val="24"/>
          <w:lang w:val="bg-BG"/>
        </w:rPr>
      </w:pPr>
    </w:p>
    <w:p w14:paraId="1E030290" w14:textId="0EB7A25A" w:rsidR="00D66BED" w:rsidRPr="00932D29" w:rsidRDefault="00BB574D" w:rsidP="00976718">
      <w:pPr>
        <w:pStyle w:val="ListParagraph"/>
        <w:numPr>
          <w:ilvl w:val="0"/>
          <w:numId w:val="2"/>
        </w:numPr>
        <w:jc w:val="both"/>
        <w:rPr>
          <w:rFonts w:ascii="Times New Roman" w:hAnsi="Times New Roman" w:cs="Times New Roman"/>
          <w:sz w:val="24"/>
          <w:szCs w:val="24"/>
          <w:lang w:val="bg-BG"/>
        </w:rPr>
      </w:pPr>
      <w:r w:rsidRPr="00932D29">
        <w:rPr>
          <w:rFonts w:ascii="Times New Roman" w:hAnsi="Times New Roman" w:cs="Times New Roman"/>
          <w:sz w:val="24"/>
          <w:szCs w:val="24"/>
          <w:lang w:val="bg-BG"/>
        </w:rPr>
        <w:t xml:space="preserve">Radanova M., </w:t>
      </w:r>
      <w:r w:rsidRPr="00932D29">
        <w:rPr>
          <w:rFonts w:ascii="Times New Roman" w:hAnsi="Times New Roman" w:cs="Times New Roman"/>
          <w:b/>
          <w:bCs/>
          <w:sz w:val="24"/>
          <w:szCs w:val="24"/>
          <w:lang w:val="bg-BG"/>
        </w:rPr>
        <w:t>Levkova M</w:t>
      </w:r>
      <w:r w:rsidRPr="00932D29">
        <w:rPr>
          <w:rFonts w:ascii="Times New Roman" w:hAnsi="Times New Roman" w:cs="Times New Roman"/>
          <w:sz w:val="24"/>
          <w:szCs w:val="24"/>
          <w:lang w:val="bg-BG"/>
        </w:rPr>
        <w:t xml:space="preserve">., Mihaylova G., Manev R., Maneva M., Hadgiev R., Conev N., Donev I. (2022). </w:t>
      </w:r>
      <w:r w:rsidRPr="00932D29">
        <w:rPr>
          <w:rFonts w:ascii="Times New Roman" w:hAnsi="Times New Roman" w:cs="Times New Roman"/>
          <w:i/>
          <w:iCs/>
          <w:sz w:val="24"/>
          <w:szCs w:val="24"/>
          <w:lang w:val="bg-BG"/>
        </w:rPr>
        <w:t>Single Nucleotide Polymorphisms in microRNA Genes and Colorectal Cancer Risk and Prognosis</w:t>
      </w:r>
      <w:r w:rsidRPr="00932D29">
        <w:rPr>
          <w:rFonts w:ascii="Times New Roman" w:hAnsi="Times New Roman" w:cs="Times New Roman"/>
          <w:sz w:val="24"/>
          <w:szCs w:val="24"/>
          <w:lang w:val="bg-BG"/>
        </w:rPr>
        <w:t>. Biomedicines, 10(1), 156. (IF  6.081) Q1</w:t>
      </w:r>
    </w:p>
    <w:p w14:paraId="43C4ED6E" w14:textId="4EA62EFF" w:rsidR="00B13FE2" w:rsidRPr="00F20C1F" w:rsidRDefault="006C00A1" w:rsidP="00675A7D">
      <w:pPr>
        <w:pStyle w:val="ListParagraph"/>
        <w:numPr>
          <w:ilvl w:val="1"/>
          <w:numId w:val="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675A7D" w:rsidRPr="00F20C1F">
        <w:rPr>
          <w:rFonts w:ascii="Times New Roman" w:hAnsi="Times New Roman" w:cs="Times New Roman"/>
          <w:sz w:val="24"/>
          <w:szCs w:val="24"/>
          <w:lang w:val="bg-BG"/>
        </w:rPr>
        <w:t xml:space="preserve">Нараства интересът към единичните нуклеотидни полиморфизми (SNP) в гените </w:t>
      </w:r>
      <w:r w:rsidR="00932D29">
        <w:rPr>
          <w:rFonts w:ascii="Times New Roman" w:hAnsi="Times New Roman" w:cs="Times New Roman"/>
          <w:sz w:val="24"/>
          <w:szCs w:val="24"/>
          <w:lang w:val="bg-BG"/>
        </w:rPr>
        <w:t>з</w:t>
      </w:r>
      <w:r w:rsidR="00675A7D" w:rsidRPr="00F20C1F">
        <w:rPr>
          <w:rFonts w:ascii="Times New Roman" w:hAnsi="Times New Roman" w:cs="Times New Roman"/>
          <w:sz w:val="24"/>
          <w:szCs w:val="24"/>
          <w:lang w:val="bg-BG"/>
        </w:rPr>
        <w:t xml:space="preserve">а микроРНК (miRNA), които могат да бъдат свързани с </w:t>
      </w:r>
      <w:r w:rsidR="00932D29">
        <w:rPr>
          <w:rFonts w:ascii="Times New Roman" w:hAnsi="Times New Roman" w:cs="Times New Roman"/>
          <w:sz w:val="24"/>
          <w:szCs w:val="24"/>
          <w:lang w:val="bg-BG"/>
        </w:rPr>
        <w:t xml:space="preserve">предразположението </w:t>
      </w:r>
      <w:r w:rsidR="00675A7D" w:rsidRPr="00F20C1F">
        <w:rPr>
          <w:rFonts w:ascii="Times New Roman" w:hAnsi="Times New Roman" w:cs="Times New Roman"/>
          <w:sz w:val="24"/>
          <w:szCs w:val="24"/>
          <w:lang w:val="bg-BG"/>
        </w:rPr>
        <w:t>към колоректален рак (</w:t>
      </w:r>
      <w:r w:rsidR="00932D29">
        <w:rPr>
          <w:rFonts w:ascii="Times New Roman" w:hAnsi="Times New Roman" w:cs="Times New Roman"/>
          <w:sz w:val="24"/>
          <w:szCs w:val="24"/>
          <w:lang w:val="bg-BG"/>
        </w:rPr>
        <w:t>КРР</w:t>
      </w:r>
      <w:r w:rsidR="00675A7D" w:rsidRPr="00F20C1F">
        <w:rPr>
          <w:rFonts w:ascii="Times New Roman" w:hAnsi="Times New Roman" w:cs="Times New Roman"/>
          <w:sz w:val="24"/>
          <w:szCs w:val="24"/>
          <w:lang w:val="bg-BG"/>
        </w:rPr>
        <w:t xml:space="preserve">) и следователно с прогнозата на заболяването и/или отговора на лечението. Освен това тези miRNAs-SNPs могат да служат като нови, нискоинвазивни биомаркери за ранно откриване на </w:t>
      </w:r>
      <w:r w:rsidR="00932D29">
        <w:rPr>
          <w:rFonts w:ascii="Times New Roman" w:hAnsi="Times New Roman" w:cs="Times New Roman"/>
          <w:sz w:val="24"/>
          <w:szCs w:val="24"/>
          <w:lang w:val="bg-BG"/>
        </w:rPr>
        <w:t>КРР</w:t>
      </w:r>
      <w:r w:rsidR="00675A7D" w:rsidRPr="00F20C1F">
        <w:rPr>
          <w:rFonts w:ascii="Times New Roman" w:hAnsi="Times New Roman" w:cs="Times New Roman"/>
          <w:sz w:val="24"/>
          <w:szCs w:val="24"/>
          <w:lang w:val="bg-BG"/>
        </w:rPr>
        <w:t xml:space="preserve">. В настоящата статия направихме обстоен </w:t>
      </w:r>
      <w:r w:rsidR="00932D29">
        <w:rPr>
          <w:rFonts w:ascii="Times New Roman" w:hAnsi="Times New Roman" w:cs="Times New Roman"/>
          <w:sz w:val="24"/>
          <w:szCs w:val="24"/>
          <w:lang w:val="bg-BG"/>
        </w:rPr>
        <w:t>обзор</w:t>
      </w:r>
      <w:r w:rsidR="00675A7D" w:rsidRPr="00F20C1F">
        <w:rPr>
          <w:rFonts w:ascii="Times New Roman" w:hAnsi="Times New Roman" w:cs="Times New Roman"/>
          <w:sz w:val="24"/>
          <w:szCs w:val="24"/>
          <w:lang w:val="bg-BG"/>
        </w:rPr>
        <w:t xml:space="preserve"> на различни SNP, които бяха изследвани за връзка с риска от рак на дебелото черво, прогнозата и отговора на лечението. Също така анализирахме резултатите от различни мета</w:t>
      </w:r>
      <w:r w:rsidR="00932D29">
        <w:rPr>
          <w:rFonts w:ascii="Times New Roman" w:hAnsi="Times New Roman" w:cs="Times New Roman"/>
          <w:sz w:val="24"/>
          <w:szCs w:val="24"/>
          <w:lang w:val="bg-BG"/>
        </w:rPr>
        <w:t>-</w:t>
      </w:r>
      <w:r w:rsidR="00675A7D" w:rsidRPr="00F20C1F">
        <w:rPr>
          <w:rFonts w:ascii="Times New Roman" w:hAnsi="Times New Roman" w:cs="Times New Roman"/>
          <w:sz w:val="24"/>
          <w:szCs w:val="24"/>
          <w:lang w:val="bg-BG"/>
        </w:rPr>
        <w:t xml:space="preserve">анализи и възможните причини за докладваните противоречиви резултати, особено когато различни изследователски групи са изследвали един и същ SNP в ген за </w:t>
      </w:r>
      <w:r w:rsidR="00675A7D" w:rsidRPr="00F20C1F">
        <w:rPr>
          <w:rFonts w:ascii="Times New Roman" w:hAnsi="Times New Roman" w:cs="Times New Roman"/>
          <w:sz w:val="24"/>
          <w:szCs w:val="24"/>
          <w:lang w:val="bg-BG"/>
        </w:rPr>
        <w:lastRenderedPageBreak/>
        <w:t xml:space="preserve">определена </w:t>
      </w:r>
      <w:r w:rsidR="00932D29">
        <w:rPr>
          <w:rFonts w:ascii="Times New Roman" w:hAnsi="Times New Roman" w:cs="Times New Roman"/>
          <w:sz w:val="24"/>
          <w:szCs w:val="24"/>
        </w:rPr>
        <w:t>miRNA</w:t>
      </w:r>
      <w:r w:rsidR="00675A7D" w:rsidRPr="00F20C1F">
        <w:rPr>
          <w:rFonts w:ascii="Times New Roman" w:hAnsi="Times New Roman" w:cs="Times New Roman"/>
          <w:sz w:val="24"/>
          <w:szCs w:val="24"/>
          <w:lang w:val="bg-BG"/>
        </w:rPr>
        <w:t xml:space="preserve">. Това показва, че са необходими повече проучвания </w:t>
      </w:r>
      <w:r w:rsidR="00932D29">
        <w:rPr>
          <w:rFonts w:ascii="Times New Roman" w:hAnsi="Times New Roman" w:cs="Times New Roman"/>
          <w:sz w:val="24"/>
          <w:szCs w:val="24"/>
          <w:lang w:val="bg-BG"/>
        </w:rPr>
        <w:t>от типа</w:t>
      </w:r>
      <w:r w:rsidR="00675A7D" w:rsidRPr="00F20C1F">
        <w:rPr>
          <w:rFonts w:ascii="Times New Roman" w:hAnsi="Times New Roman" w:cs="Times New Roman"/>
          <w:sz w:val="24"/>
          <w:szCs w:val="24"/>
          <w:lang w:val="bg-BG"/>
        </w:rPr>
        <w:t xml:space="preserve"> случа</w:t>
      </w:r>
      <w:r w:rsidR="00932D29">
        <w:rPr>
          <w:rFonts w:ascii="Times New Roman" w:hAnsi="Times New Roman" w:cs="Times New Roman"/>
          <w:sz w:val="24"/>
          <w:szCs w:val="24"/>
          <w:lang w:val="bg-BG"/>
        </w:rPr>
        <w:t>й-</w:t>
      </w:r>
      <w:r w:rsidR="00675A7D" w:rsidRPr="00F20C1F">
        <w:rPr>
          <w:rFonts w:ascii="Times New Roman" w:hAnsi="Times New Roman" w:cs="Times New Roman"/>
          <w:sz w:val="24"/>
          <w:szCs w:val="24"/>
          <w:lang w:val="bg-BG"/>
        </w:rPr>
        <w:t>контрол</w:t>
      </w:r>
      <w:r w:rsidR="00932D29">
        <w:rPr>
          <w:rFonts w:ascii="Times New Roman" w:hAnsi="Times New Roman" w:cs="Times New Roman"/>
          <w:sz w:val="24"/>
          <w:szCs w:val="24"/>
          <w:lang w:val="bg-BG"/>
        </w:rPr>
        <w:t>а</w:t>
      </w:r>
      <w:r w:rsidR="00675A7D" w:rsidRPr="00F20C1F">
        <w:rPr>
          <w:rFonts w:ascii="Times New Roman" w:hAnsi="Times New Roman" w:cs="Times New Roman"/>
          <w:sz w:val="24"/>
          <w:szCs w:val="24"/>
          <w:lang w:val="bg-BG"/>
        </w:rPr>
        <w:t>, включващи участници с различен етнически произход.</w:t>
      </w:r>
      <w:r w:rsidR="00675A7D" w:rsidRPr="00F20C1F">
        <w:rPr>
          <w:sz w:val="24"/>
          <w:szCs w:val="24"/>
        </w:rPr>
        <w:t xml:space="preserve"> </w:t>
      </w:r>
      <w:r w:rsidR="00675A7D" w:rsidRPr="00F20C1F">
        <w:rPr>
          <w:rFonts w:ascii="Times New Roman" w:hAnsi="Times New Roman" w:cs="Times New Roman"/>
          <w:sz w:val="24"/>
          <w:szCs w:val="24"/>
          <w:lang w:val="bg-BG"/>
        </w:rPr>
        <w:t xml:space="preserve">Според нашия </w:t>
      </w:r>
      <w:r w:rsidR="00932D29">
        <w:rPr>
          <w:rFonts w:ascii="Times New Roman" w:hAnsi="Times New Roman" w:cs="Times New Roman"/>
          <w:sz w:val="24"/>
          <w:szCs w:val="24"/>
          <w:lang w:val="bg-BG"/>
        </w:rPr>
        <w:t>обзор,</w:t>
      </w:r>
      <w:r w:rsidR="00675A7D" w:rsidRPr="00F20C1F">
        <w:rPr>
          <w:rFonts w:ascii="Times New Roman" w:hAnsi="Times New Roman" w:cs="Times New Roman"/>
          <w:sz w:val="24"/>
          <w:szCs w:val="24"/>
          <w:lang w:val="bg-BG"/>
        </w:rPr>
        <w:t xml:space="preserve"> три miRNA-SNPs </w:t>
      </w:r>
      <w:r w:rsidR="00932D29" w:rsidRPr="00F20C1F">
        <w:rPr>
          <w:rFonts w:ascii="Times New Roman" w:hAnsi="Times New Roman" w:cs="Times New Roman"/>
          <w:sz w:val="24"/>
          <w:szCs w:val="24"/>
          <w:lang w:val="bg-BG"/>
        </w:rPr>
        <w:t xml:space="preserve">се оказват обещаващи прогностични, диагностични и предсказващи биомаркери за </w:t>
      </w:r>
      <w:r w:rsidR="00932D29">
        <w:rPr>
          <w:rFonts w:ascii="Times New Roman" w:hAnsi="Times New Roman" w:cs="Times New Roman"/>
          <w:sz w:val="24"/>
          <w:szCs w:val="24"/>
          <w:lang w:val="bg-BG"/>
        </w:rPr>
        <w:t>КРР и това са</w:t>
      </w:r>
      <w:r w:rsidR="00932D29" w:rsidRPr="00F20C1F">
        <w:rPr>
          <w:rFonts w:ascii="Times New Roman" w:hAnsi="Times New Roman" w:cs="Times New Roman"/>
          <w:sz w:val="24"/>
          <w:szCs w:val="24"/>
          <w:lang w:val="bg-BG"/>
        </w:rPr>
        <w:t xml:space="preserve"> </w:t>
      </w:r>
      <w:r w:rsidR="00675A7D" w:rsidRPr="00F20C1F">
        <w:rPr>
          <w:rFonts w:ascii="Times New Roman" w:hAnsi="Times New Roman" w:cs="Times New Roman"/>
          <w:sz w:val="24"/>
          <w:szCs w:val="24"/>
          <w:lang w:val="bg-BG"/>
        </w:rPr>
        <w:t>miR-146a rs2910164, miR-27a rs895819 и miR-608 rs4919510.</w:t>
      </w:r>
    </w:p>
    <w:p w14:paraId="128C2593" w14:textId="77777777" w:rsidR="00675A7D" w:rsidRPr="00F20C1F" w:rsidRDefault="00675A7D" w:rsidP="00675A7D">
      <w:pPr>
        <w:pStyle w:val="ListParagraph"/>
        <w:ind w:left="993"/>
        <w:jc w:val="both"/>
        <w:rPr>
          <w:rFonts w:ascii="Times New Roman" w:hAnsi="Times New Roman" w:cs="Times New Roman"/>
          <w:sz w:val="24"/>
          <w:szCs w:val="24"/>
          <w:lang w:val="bg-BG"/>
        </w:rPr>
      </w:pPr>
    </w:p>
    <w:p w14:paraId="60E23D18" w14:textId="1E5A107F" w:rsidR="00685495" w:rsidRPr="00F20C1F" w:rsidRDefault="006C00A1" w:rsidP="00675A7D">
      <w:pPr>
        <w:pStyle w:val="ListParagraph"/>
        <w:numPr>
          <w:ilvl w:val="1"/>
          <w:numId w:val="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BB574D" w:rsidRPr="00F20C1F">
        <w:rPr>
          <w:rFonts w:ascii="Times New Roman" w:hAnsi="Times New Roman" w:cs="Times New Roman"/>
          <w:sz w:val="24"/>
          <w:szCs w:val="24"/>
        </w:rPr>
        <w:t>There is growing interest in single nucleotide polymorphisms (SNPs) in the genes of microRNAs (miRNAs), which could be associated with susceptibility to colorectal cancer (CRC) and therefore for prognosis of the disease and/or treatment response. Moreover, these miRNAs-SNPs could serve as new, low-invasive biomarkers for early detection of CRC. In the present article, we performed a thorough review of different SNPs, which were investigated for a correlation with the CRC risk, prognosis, and treatment response. We also analyzed the results from different meta</w:t>
      </w:r>
      <w:r w:rsidR="00675A7D" w:rsidRPr="00F20C1F">
        <w:rPr>
          <w:rFonts w:ascii="Times New Roman" w:hAnsi="Times New Roman" w:cs="Times New Roman"/>
          <w:sz w:val="24"/>
          <w:szCs w:val="24"/>
        </w:rPr>
        <w:t>-</w:t>
      </w:r>
      <w:r w:rsidR="00BB574D" w:rsidRPr="00F20C1F">
        <w:rPr>
          <w:rFonts w:ascii="Times New Roman" w:hAnsi="Times New Roman" w:cs="Times New Roman"/>
          <w:sz w:val="24"/>
          <w:szCs w:val="24"/>
        </w:rPr>
        <w:t xml:space="preserve">analyses and the possible reasons for reported contradictory findings, especially when different research groups investigated the same SNP in a gene for a particular miRNA. This illustrates the need for more case-control studies involving participants with different ethnic backgrounds. According to our review, three miRNAs-SNPs—miR-146a rs2910164, miR-27a rs895819 and miR-608 rs4919510— appear as promising prognostic, diagnostic and predictive biomarkers for CRC, respectively. </w:t>
      </w:r>
    </w:p>
    <w:p w14:paraId="1DA9699B" w14:textId="77777777" w:rsidR="00BB574D" w:rsidRPr="00F20C1F" w:rsidRDefault="00BB574D" w:rsidP="00675A7D">
      <w:pPr>
        <w:pStyle w:val="ListParagraph"/>
        <w:ind w:left="993" w:hanging="284"/>
        <w:jc w:val="both"/>
        <w:rPr>
          <w:rFonts w:ascii="Times New Roman" w:hAnsi="Times New Roman" w:cs="Times New Roman"/>
          <w:sz w:val="24"/>
          <w:szCs w:val="24"/>
          <w:lang w:val="bg-BG"/>
        </w:rPr>
      </w:pPr>
    </w:p>
    <w:p w14:paraId="74861C29" w14:textId="396BF722" w:rsidR="00D66BED" w:rsidRPr="009C3AAB" w:rsidRDefault="00BB574D" w:rsidP="00F86383">
      <w:pPr>
        <w:pStyle w:val="ListParagraph"/>
        <w:numPr>
          <w:ilvl w:val="0"/>
          <w:numId w:val="2"/>
        </w:numPr>
        <w:jc w:val="both"/>
        <w:rPr>
          <w:rFonts w:ascii="Times New Roman" w:hAnsi="Times New Roman" w:cs="Times New Roman"/>
          <w:sz w:val="24"/>
          <w:szCs w:val="24"/>
          <w:lang w:val="bg-BG"/>
        </w:rPr>
      </w:pPr>
      <w:r w:rsidRPr="009C3AAB">
        <w:rPr>
          <w:rFonts w:ascii="Times New Roman" w:hAnsi="Times New Roman" w:cs="Times New Roman"/>
          <w:b/>
          <w:bCs/>
          <w:sz w:val="24"/>
          <w:szCs w:val="24"/>
        </w:rPr>
        <w:t>Levkova, M</w:t>
      </w:r>
      <w:r w:rsidRPr="009C3AAB">
        <w:rPr>
          <w:rFonts w:ascii="Times New Roman" w:hAnsi="Times New Roman" w:cs="Times New Roman"/>
          <w:sz w:val="24"/>
          <w:szCs w:val="24"/>
        </w:rPr>
        <w:t xml:space="preserve">., </w:t>
      </w:r>
      <w:proofErr w:type="spellStart"/>
      <w:r w:rsidRPr="009C3AAB">
        <w:rPr>
          <w:rFonts w:ascii="Times New Roman" w:hAnsi="Times New Roman" w:cs="Times New Roman"/>
          <w:sz w:val="24"/>
          <w:szCs w:val="24"/>
        </w:rPr>
        <w:t>Radanova</w:t>
      </w:r>
      <w:proofErr w:type="spellEnd"/>
      <w:r w:rsidRPr="009C3AAB">
        <w:rPr>
          <w:rFonts w:ascii="Times New Roman" w:hAnsi="Times New Roman" w:cs="Times New Roman"/>
          <w:sz w:val="24"/>
          <w:szCs w:val="24"/>
        </w:rPr>
        <w:t xml:space="preserve">, M., &amp; Angelova, L. </w:t>
      </w:r>
      <w:r w:rsidRPr="009C3AAB">
        <w:rPr>
          <w:rFonts w:ascii="Times New Roman" w:hAnsi="Times New Roman" w:cs="Times New Roman"/>
          <w:i/>
          <w:iCs/>
          <w:sz w:val="24"/>
          <w:szCs w:val="24"/>
        </w:rPr>
        <w:t>Potential role of dynein‐related genes in the etiology of male infertility: A systematic review and a meta‐analysis</w:t>
      </w:r>
      <w:r w:rsidRPr="009C3AAB">
        <w:rPr>
          <w:rFonts w:ascii="Times New Roman" w:hAnsi="Times New Roman" w:cs="Times New Roman"/>
          <w:sz w:val="24"/>
          <w:szCs w:val="24"/>
        </w:rPr>
        <w:t>. Andrology. 2022 Nov; 10(8), 1484-1499. (IF 4.456) Q1</w:t>
      </w:r>
    </w:p>
    <w:p w14:paraId="7A708E06" w14:textId="2660534B" w:rsidR="008031B4" w:rsidRPr="00F20C1F" w:rsidRDefault="006C00A1" w:rsidP="00675A7D">
      <w:pPr>
        <w:pStyle w:val="ListParagraph"/>
        <w:numPr>
          <w:ilvl w:val="1"/>
          <w:numId w:val="2"/>
        </w:numPr>
        <w:ind w:left="993" w:hanging="141"/>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9C3AAB" w:rsidRPr="009C3AAB">
        <w:rPr>
          <w:rFonts w:ascii="Times New Roman" w:hAnsi="Times New Roman" w:cs="Times New Roman"/>
          <w:sz w:val="24"/>
          <w:szCs w:val="24"/>
          <w:lang w:val="bg-BG"/>
        </w:rPr>
        <w:t>Въведение</w:t>
      </w:r>
      <w:r w:rsidR="00675A7D" w:rsidRPr="00F20C1F">
        <w:rPr>
          <w:rFonts w:ascii="Times New Roman" w:hAnsi="Times New Roman" w:cs="Times New Roman"/>
          <w:sz w:val="24"/>
          <w:szCs w:val="24"/>
          <w:lang w:val="bg-BG"/>
        </w:rPr>
        <w:t xml:space="preserve">: Свързаните с динеин гени може да имат роля в етиологията на мъжкото безплодие, особено в случаите на нарушена подвижност на сперматозоидите. Цели: Целта на този </w:t>
      </w:r>
      <w:r w:rsidR="00C33798">
        <w:rPr>
          <w:rFonts w:ascii="Times New Roman" w:hAnsi="Times New Roman" w:cs="Times New Roman"/>
          <w:sz w:val="24"/>
          <w:szCs w:val="24"/>
          <w:lang w:val="bg-BG"/>
        </w:rPr>
        <w:t xml:space="preserve">обзор </w:t>
      </w:r>
      <w:r w:rsidR="00675A7D" w:rsidRPr="00F20C1F">
        <w:rPr>
          <w:rFonts w:ascii="Times New Roman" w:hAnsi="Times New Roman" w:cs="Times New Roman"/>
          <w:sz w:val="24"/>
          <w:szCs w:val="24"/>
          <w:lang w:val="bg-BG"/>
        </w:rPr>
        <w:t xml:space="preserve">е да се състави списък на най-важните кандидат-гени, свързани с динеина, които могат да допринесат за безплодието при мъжете. Материали и методи: </w:t>
      </w:r>
      <w:r w:rsidR="00C33798">
        <w:rPr>
          <w:rFonts w:ascii="Times New Roman" w:hAnsi="Times New Roman" w:cs="Times New Roman"/>
          <w:sz w:val="24"/>
          <w:szCs w:val="24"/>
          <w:lang w:val="bg-BG"/>
        </w:rPr>
        <w:t>Беше проведено търсене в б</w:t>
      </w:r>
      <w:r w:rsidR="00675A7D" w:rsidRPr="00F20C1F">
        <w:rPr>
          <w:rFonts w:ascii="Times New Roman" w:hAnsi="Times New Roman" w:cs="Times New Roman"/>
          <w:sz w:val="24"/>
          <w:szCs w:val="24"/>
          <w:lang w:val="bg-BG"/>
        </w:rPr>
        <w:t>ази, като бяха използвани ключовите думи "dynein", "male", "infertility" и бяха приложени строги критерии за включване</w:t>
      </w:r>
      <w:r w:rsidR="00C33798">
        <w:rPr>
          <w:rFonts w:ascii="Times New Roman" w:hAnsi="Times New Roman" w:cs="Times New Roman"/>
          <w:sz w:val="24"/>
          <w:szCs w:val="24"/>
          <w:lang w:val="bg-BG"/>
        </w:rPr>
        <w:t xml:space="preserve"> на статиите</w:t>
      </w:r>
      <w:r w:rsidR="00675A7D" w:rsidRPr="00F20C1F">
        <w:rPr>
          <w:rFonts w:ascii="Times New Roman" w:hAnsi="Times New Roman" w:cs="Times New Roman"/>
          <w:sz w:val="24"/>
          <w:szCs w:val="24"/>
          <w:lang w:val="bg-BG"/>
        </w:rPr>
        <w:t xml:space="preserve">. Беше извършен и мета-анализ, като бяха използвани </w:t>
      </w:r>
      <w:r w:rsidR="00C33798">
        <w:rPr>
          <w:rFonts w:ascii="Times New Roman" w:hAnsi="Times New Roman" w:cs="Times New Roman"/>
          <w:sz w:val="24"/>
          <w:szCs w:val="24"/>
          <w:lang w:val="bg-BG"/>
        </w:rPr>
        <w:t xml:space="preserve">подходящи от намерените </w:t>
      </w:r>
      <w:r w:rsidR="00675A7D" w:rsidRPr="00F20C1F">
        <w:rPr>
          <w:rFonts w:ascii="Times New Roman" w:hAnsi="Times New Roman" w:cs="Times New Roman"/>
          <w:sz w:val="24"/>
          <w:szCs w:val="24"/>
          <w:lang w:val="bg-BG"/>
        </w:rPr>
        <w:t xml:space="preserve">проучвания </w:t>
      </w:r>
      <w:r w:rsidR="00C33798">
        <w:rPr>
          <w:rFonts w:ascii="Times New Roman" w:hAnsi="Times New Roman" w:cs="Times New Roman"/>
          <w:sz w:val="24"/>
          <w:szCs w:val="24"/>
          <w:lang w:val="bg-BG"/>
        </w:rPr>
        <w:t>от типа</w:t>
      </w:r>
      <w:r w:rsidR="00675A7D" w:rsidRPr="00F20C1F">
        <w:rPr>
          <w:rFonts w:ascii="Times New Roman" w:hAnsi="Times New Roman" w:cs="Times New Roman"/>
          <w:sz w:val="24"/>
          <w:szCs w:val="24"/>
          <w:lang w:val="bg-BG"/>
        </w:rPr>
        <w:t xml:space="preserve"> случа</w:t>
      </w:r>
      <w:r w:rsidR="00C33798">
        <w:rPr>
          <w:rFonts w:ascii="Times New Roman" w:hAnsi="Times New Roman" w:cs="Times New Roman"/>
          <w:sz w:val="24"/>
          <w:szCs w:val="24"/>
          <w:lang w:val="bg-BG"/>
        </w:rPr>
        <w:t>й-</w:t>
      </w:r>
      <w:r w:rsidR="00675A7D" w:rsidRPr="00F20C1F">
        <w:rPr>
          <w:rFonts w:ascii="Times New Roman" w:hAnsi="Times New Roman" w:cs="Times New Roman"/>
          <w:sz w:val="24"/>
          <w:szCs w:val="24"/>
          <w:lang w:val="bg-BG"/>
        </w:rPr>
        <w:t>контрол</w:t>
      </w:r>
      <w:r w:rsidR="00C33798">
        <w:rPr>
          <w:rFonts w:ascii="Times New Roman" w:hAnsi="Times New Roman" w:cs="Times New Roman"/>
          <w:sz w:val="24"/>
          <w:szCs w:val="24"/>
          <w:lang w:val="bg-BG"/>
        </w:rPr>
        <w:t>а</w:t>
      </w:r>
      <w:r w:rsidR="00675A7D" w:rsidRPr="00F20C1F">
        <w:rPr>
          <w:rFonts w:ascii="Times New Roman" w:hAnsi="Times New Roman" w:cs="Times New Roman"/>
          <w:sz w:val="24"/>
          <w:szCs w:val="24"/>
          <w:lang w:val="bg-BG"/>
        </w:rPr>
        <w:t xml:space="preserve">. </w:t>
      </w:r>
      <w:r w:rsidR="00C33798">
        <w:rPr>
          <w:rFonts w:ascii="Times New Roman" w:hAnsi="Times New Roman" w:cs="Times New Roman"/>
          <w:sz w:val="24"/>
          <w:szCs w:val="24"/>
          <w:lang w:val="bg-BG"/>
        </w:rPr>
        <w:t>Отношението на шансовете</w:t>
      </w:r>
      <w:r w:rsidR="00675A7D" w:rsidRPr="00F20C1F">
        <w:rPr>
          <w:rFonts w:ascii="Times New Roman" w:hAnsi="Times New Roman" w:cs="Times New Roman"/>
          <w:sz w:val="24"/>
          <w:szCs w:val="24"/>
          <w:lang w:val="bg-BG"/>
        </w:rPr>
        <w:t xml:space="preserve"> (OR), резултатът от Z-теста и нивото на значимост бяха определени с помощта на фиксиран модел със стойност на p от 0,05. За проверка на пристрастността на публикациите бяха използвани графики на Фунел. Резултати: На критериите за включване отговаряха 35 проучвания. Бяха открити общо 15 гена, отговорни за производството на динеинови структурни протеини, за производството на динеинови сглобяващи фактори и потенциално свързани с мъжкото безплодие.</w:t>
      </w:r>
      <w:r w:rsidR="00675A7D" w:rsidRPr="00F20C1F">
        <w:rPr>
          <w:sz w:val="24"/>
          <w:szCs w:val="24"/>
        </w:rPr>
        <w:t xml:space="preserve"> </w:t>
      </w:r>
      <w:r w:rsidR="00675A7D" w:rsidRPr="00F20C1F">
        <w:rPr>
          <w:rFonts w:ascii="Times New Roman" w:hAnsi="Times New Roman" w:cs="Times New Roman"/>
          <w:sz w:val="24"/>
          <w:szCs w:val="24"/>
          <w:lang w:val="bg-BG"/>
        </w:rPr>
        <w:t xml:space="preserve">Общо пет проучвания </w:t>
      </w:r>
      <w:r w:rsidR="00C33798">
        <w:rPr>
          <w:rFonts w:ascii="Times New Roman" w:hAnsi="Times New Roman" w:cs="Times New Roman"/>
          <w:sz w:val="24"/>
          <w:szCs w:val="24"/>
          <w:lang w:val="bg-BG"/>
        </w:rPr>
        <w:t>от типа</w:t>
      </w:r>
      <w:r w:rsidR="00675A7D" w:rsidRPr="00F20C1F">
        <w:rPr>
          <w:rFonts w:ascii="Times New Roman" w:hAnsi="Times New Roman" w:cs="Times New Roman"/>
          <w:sz w:val="24"/>
          <w:szCs w:val="24"/>
          <w:lang w:val="bg-BG"/>
        </w:rPr>
        <w:t xml:space="preserve"> случа</w:t>
      </w:r>
      <w:r w:rsidR="00C33798">
        <w:rPr>
          <w:rFonts w:ascii="Times New Roman" w:hAnsi="Times New Roman" w:cs="Times New Roman"/>
          <w:sz w:val="24"/>
          <w:szCs w:val="24"/>
          <w:lang w:val="bg-BG"/>
        </w:rPr>
        <w:t>й-</w:t>
      </w:r>
      <w:r w:rsidR="00675A7D" w:rsidRPr="00F20C1F">
        <w:rPr>
          <w:rFonts w:ascii="Times New Roman" w:hAnsi="Times New Roman" w:cs="Times New Roman"/>
          <w:sz w:val="24"/>
          <w:szCs w:val="24"/>
          <w:lang w:val="bg-BG"/>
        </w:rPr>
        <w:t>контрол</w:t>
      </w:r>
      <w:r w:rsidR="00C33798">
        <w:rPr>
          <w:rFonts w:ascii="Times New Roman" w:hAnsi="Times New Roman" w:cs="Times New Roman"/>
          <w:sz w:val="24"/>
          <w:szCs w:val="24"/>
          <w:lang w:val="bg-BG"/>
        </w:rPr>
        <w:t>а</w:t>
      </w:r>
      <w:r w:rsidR="00675A7D" w:rsidRPr="00F20C1F">
        <w:rPr>
          <w:rFonts w:ascii="Times New Roman" w:hAnsi="Times New Roman" w:cs="Times New Roman"/>
          <w:sz w:val="24"/>
          <w:szCs w:val="24"/>
          <w:lang w:val="bg-BG"/>
        </w:rPr>
        <w:t xml:space="preserve"> бяха </w:t>
      </w:r>
      <w:r w:rsidR="00C33798">
        <w:rPr>
          <w:rFonts w:ascii="Times New Roman" w:hAnsi="Times New Roman" w:cs="Times New Roman"/>
          <w:sz w:val="24"/>
          <w:szCs w:val="24"/>
          <w:lang w:val="bg-BG"/>
        </w:rPr>
        <w:t>подходящи</w:t>
      </w:r>
      <w:r w:rsidR="00675A7D" w:rsidRPr="00F20C1F">
        <w:rPr>
          <w:rFonts w:ascii="Times New Roman" w:hAnsi="Times New Roman" w:cs="Times New Roman"/>
          <w:sz w:val="24"/>
          <w:szCs w:val="24"/>
          <w:lang w:val="bg-BG"/>
        </w:rPr>
        <w:t xml:space="preserve"> за включване в мета</w:t>
      </w:r>
      <w:r w:rsidR="00C33798">
        <w:rPr>
          <w:rFonts w:ascii="Times New Roman" w:hAnsi="Times New Roman" w:cs="Times New Roman"/>
          <w:sz w:val="24"/>
          <w:szCs w:val="24"/>
          <w:lang w:val="bg-BG"/>
        </w:rPr>
        <w:t>-</w:t>
      </w:r>
      <w:r w:rsidR="00675A7D" w:rsidRPr="00F20C1F">
        <w:rPr>
          <w:rFonts w:ascii="Times New Roman" w:hAnsi="Times New Roman" w:cs="Times New Roman"/>
          <w:sz w:val="24"/>
          <w:szCs w:val="24"/>
          <w:lang w:val="bg-BG"/>
        </w:rPr>
        <w:t>анализа. Вариациите в гените, свързани с динеин, са свързани с повишен риск от мъжко безплодие (OR = 21,52, 95% доверителен интервал 8,34-55,50, Z тест = 6,35, p &lt; 0,05). Процентът на хетерогенност, I</w:t>
      </w:r>
      <w:r w:rsidR="00675A7D" w:rsidRPr="00C33798">
        <w:rPr>
          <w:rFonts w:ascii="Times New Roman" w:hAnsi="Times New Roman" w:cs="Times New Roman"/>
          <w:sz w:val="24"/>
          <w:szCs w:val="24"/>
          <w:vertAlign w:val="superscript"/>
          <w:lang w:val="bg-BG"/>
        </w:rPr>
        <w:t>2</w:t>
      </w:r>
      <w:r w:rsidR="00675A7D" w:rsidRPr="00F20C1F">
        <w:rPr>
          <w:rFonts w:ascii="Times New Roman" w:hAnsi="Times New Roman" w:cs="Times New Roman"/>
          <w:sz w:val="24"/>
          <w:szCs w:val="24"/>
          <w:lang w:val="bg-BG"/>
        </w:rPr>
        <w:t xml:space="preserve">, е 47,00%. Липсата на варианти в динеиновите гени е предимство и това е статистически значимо. Обсъждане: Резултатите от </w:t>
      </w:r>
      <w:r w:rsidR="00675A7D" w:rsidRPr="00F20C1F">
        <w:rPr>
          <w:rFonts w:ascii="Times New Roman" w:hAnsi="Times New Roman" w:cs="Times New Roman"/>
          <w:sz w:val="24"/>
          <w:szCs w:val="24"/>
          <w:lang w:val="bg-BG"/>
        </w:rPr>
        <w:lastRenderedPageBreak/>
        <w:t>настоящия преглед показват, че патогенни варианти в гените както за синтеза на динеин, така и за факторите за сглобяване на динеин могат да бъдат свързани с мъжко безплодие без</w:t>
      </w:r>
      <w:r w:rsidR="00C33798">
        <w:rPr>
          <w:rFonts w:ascii="Times New Roman" w:hAnsi="Times New Roman" w:cs="Times New Roman"/>
          <w:sz w:val="24"/>
          <w:szCs w:val="24"/>
          <w:lang w:val="bg-BG"/>
        </w:rPr>
        <w:t xml:space="preserve"> наличие на</w:t>
      </w:r>
      <w:r w:rsidR="00675A7D" w:rsidRPr="00F20C1F">
        <w:rPr>
          <w:rFonts w:ascii="Times New Roman" w:hAnsi="Times New Roman" w:cs="Times New Roman"/>
          <w:sz w:val="24"/>
          <w:szCs w:val="24"/>
          <w:lang w:val="bg-BG"/>
        </w:rPr>
        <w:t xml:space="preserve"> други</w:t>
      </w:r>
      <w:r w:rsidR="00C33798">
        <w:rPr>
          <w:rFonts w:ascii="Times New Roman" w:hAnsi="Times New Roman" w:cs="Times New Roman"/>
          <w:sz w:val="24"/>
          <w:szCs w:val="24"/>
          <w:lang w:val="bg-BG"/>
        </w:rPr>
        <w:t>, подлежащи</w:t>
      </w:r>
      <w:r w:rsidR="00675A7D" w:rsidRPr="00F20C1F">
        <w:rPr>
          <w:rFonts w:ascii="Times New Roman" w:hAnsi="Times New Roman" w:cs="Times New Roman"/>
          <w:sz w:val="24"/>
          <w:szCs w:val="24"/>
          <w:lang w:val="bg-BG"/>
        </w:rPr>
        <w:t xml:space="preserve"> симптоми. Заключени</w:t>
      </w:r>
      <w:r w:rsidR="00C33798">
        <w:rPr>
          <w:rFonts w:ascii="Times New Roman" w:hAnsi="Times New Roman" w:cs="Times New Roman"/>
          <w:sz w:val="24"/>
          <w:szCs w:val="24"/>
          <w:lang w:val="bg-BG"/>
        </w:rPr>
        <w:t>е</w:t>
      </w:r>
      <w:r w:rsidR="00675A7D" w:rsidRPr="00F20C1F">
        <w:rPr>
          <w:rFonts w:ascii="Times New Roman" w:hAnsi="Times New Roman" w:cs="Times New Roman"/>
          <w:sz w:val="24"/>
          <w:szCs w:val="24"/>
          <w:lang w:val="bg-BG"/>
        </w:rPr>
        <w:t>: Разгледаните в това проучване гени, които участват както в производството, така и в сглобяването на динеина, могат да се използват като молекулярни цели за бъдещи изследвания на етиологията на проблемите с подвижността на сперматозоидите.</w:t>
      </w:r>
    </w:p>
    <w:p w14:paraId="447C7D79" w14:textId="77777777" w:rsidR="00675A7D" w:rsidRPr="00F20C1F" w:rsidRDefault="00675A7D" w:rsidP="00675A7D">
      <w:pPr>
        <w:pStyle w:val="ListParagraph"/>
        <w:ind w:left="993"/>
        <w:jc w:val="both"/>
        <w:rPr>
          <w:rFonts w:ascii="Times New Roman" w:hAnsi="Times New Roman" w:cs="Times New Roman"/>
          <w:sz w:val="24"/>
          <w:szCs w:val="24"/>
          <w:lang w:val="bg-BG"/>
        </w:rPr>
      </w:pPr>
    </w:p>
    <w:p w14:paraId="4AB4C80C" w14:textId="50D54546" w:rsidR="00685495" w:rsidRPr="00F20C1F" w:rsidRDefault="006C00A1" w:rsidP="00675A7D">
      <w:pPr>
        <w:pStyle w:val="ListParagraph"/>
        <w:numPr>
          <w:ilvl w:val="1"/>
          <w:numId w:val="2"/>
        </w:numPr>
        <w:ind w:left="993" w:hanging="141"/>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BB574D" w:rsidRPr="00F20C1F">
        <w:rPr>
          <w:rFonts w:ascii="Times New Roman" w:hAnsi="Times New Roman" w:cs="Times New Roman"/>
          <w:sz w:val="24"/>
          <w:szCs w:val="24"/>
        </w:rPr>
        <w:t xml:space="preserve">Background: The dynein-related genes may have a role in the etiology of male infertility, particularly in cases of impaired sperm motility. Objectives: The goal of this review is to compile a list of the most important dynein-related candidate genes that may contribute to male factor infertility. Materials and methods: Databases were searched using the keywords “dynein,” “male,” “infertility,” and by applying strict inclusion criteria. A meta-analysis was also performed by using the eligible case-control studies. The odd ratios (ORs), the Z-test score, and the level of significance were determined using a fixed model with a p value of 0.05. Funnel plots were used to check for publication bias. Results: There were 35 studies that met the inclusion criteria. There </w:t>
      </w:r>
      <w:proofErr w:type="gramStart"/>
      <w:r w:rsidR="00BB574D" w:rsidRPr="00F20C1F">
        <w:rPr>
          <w:rFonts w:ascii="Times New Roman" w:hAnsi="Times New Roman" w:cs="Times New Roman"/>
          <w:sz w:val="24"/>
          <w:szCs w:val="24"/>
        </w:rPr>
        <w:t>were</w:t>
      </w:r>
      <w:proofErr w:type="gramEnd"/>
      <w:r w:rsidR="00BB574D" w:rsidRPr="00F20C1F">
        <w:rPr>
          <w:rFonts w:ascii="Times New Roman" w:hAnsi="Times New Roman" w:cs="Times New Roman"/>
          <w:sz w:val="24"/>
          <w:szCs w:val="24"/>
        </w:rPr>
        <w:t xml:space="preserve"> a total of 15 genes responsible for the production of dynein structural proteins, the production of dynein assembling factors, and potentially associated with male infertility. A total of five case-control studies were eligible for inclusion in the meta-analysis. Variants in the dynein-related genes were linked to an increased the risk of male infertility (OR = 21.52, 95% confidence interval 8.34–55.50, Z test = 6.35, p &lt; 0.05). The percentage of heterogeneity, I</w:t>
      </w:r>
      <w:r w:rsidR="00BB574D" w:rsidRPr="00C33798">
        <w:rPr>
          <w:rFonts w:ascii="Times New Roman" w:hAnsi="Times New Roman" w:cs="Times New Roman"/>
          <w:sz w:val="24"/>
          <w:szCs w:val="24"/>
          <w:vertAlign w:val="superscript"/>
        </w:rPr>
        <w:t>2</w:t>
      </w:r>
      <w:r w:rsidR="00BB574D" w:rsidRPr="00F20C1F">
        <w:rPr>
          <w:rFonts w:ascii="Times New Roman" w:hAnsi="Times New Roman" w:cs="Times New Roman"/>
          <w:sz w:val="24"/>
          <w:szCs w:val="24"/>
        </w:rPr>
        <w:t xml:space="preserve">, was 47.00%. The lack of variants in the dynein genes was an advantage, and this was statistically significant. Discussion: The results from the present review illustrate that pathogenic variants in genes both for dynein synthesis and for dynein assembly factors could be associated with isolated cases of male infertility without any other symptoms. Conclusions: The genes addressed in this study, which are involved in both the production and assembly of dynein, could be used as molecular targets for future research into the etiology of sperm motility problems. </w:t>
      </w:r>
    </w:p>
    <w:p w14:paraId="0ACF892C" w14:textId="77777777" w:rsidR="00675A7D" w:rsidRPr="00F20C1F" w:rsidRDefault="00675A7D" w:rsidP="00675A7D">
      <w:pPr>
        <w:pStyle w:val="ListParagraph"/>
        <w:ind w:left="993"/>
        <w:jc w:val="both"/>
        <w:rPr>
          <w:rFonts w:ascii="Times New Roman" w:hAnsi="Times New Roman" w:cs="Times New Roman"/>
          <w:sz w:val="24"/>
          <w:szCs w:val="24"/>
          <w:lang w:val="bg-BG"/>
        </w:rPr>
      </w:pPr>
    </w:p>
    <w:p w14:paraId="698714B9" w14:textId="632C7E97" w:rsidR="00BB574D" w:rsidRPr="009873CA" w:rsidRDefault="00BB574D" w:rsidP="00E14AE8">
      <w:pPr>
        <w:pStyle w:val="ListParagraph"/>
        <w:numPr>
          <w:ilvl w:val="0"/>
          <w:numId w:val="2"/>
        </w:numPr>
        <w:jc w:val="both"/>
        <w:rPr>
          <w:rFonts w:ascii="Times New Roman" w:hAnsi="Times New Roman" w:cs="Times New Roman"/>
          <w:sz w:val="24"/>
          <w:szCs w:val="24"/>
          <w:lang w:val="bg-BG"/>
        </w:rPr>
      </w:pPr>
      <w:proofErr w:type="spellStart"/>
      <w:r w:rsidRPr="009873CA">
        <w:rPr>
          <w:rFonts w:ascii="Times New Roman" w:hAnsi="Times New Roman" w:cs="Times New Roman"/>
          <w:sz w:val="24"/>
          <w:szCs w:val="24"/>
        </w:rPr>
        <w:t>Tsalta</w:t>
      </w:r>
      <w:proofErr w:type="spellEnd"/>
      <w:r w:rsidRPr="009873CA">
        <w:rPr>
          <w:rFonts w:ascii="Times New Roman" w:hAnsi="Times New Roman" w:cs="Times New Roman"/>
          <w:sz w:val="24"/>
          <w:szCs w:val="24"/>
        </w:rPr>
        <w:t xml:space="preserve">-Mladenov, M.; </w:t>
      </w:r>
      <w:r w:rsidRPr="009873CA">
        <w:rPr>
          <w:rFonts w:ascii="Times New Roman" w:hAnsi="Times New Roman" w:cs="Times New Roman"/>
          <w:b/>
          <w:bCs/>
          <w:sz w:val="24"/>
          <w:szCs w:val="24"/>
        </w:rPr>
        <w:t>Levkova, M</w:t>
      </w:r>
      <w:r w:rsidRPr="009873CA">
        <w:rPr>
          <w:rFonts w:ascii="Times New Roman" w:hAnsi="Times New Roman" w:cs="Times New Roman"/>
          <w:sz w:val="24"/>
          <w:szCs w:val="24"/>
        </w:rPr>
        <w:t xml:space="preserve">.; Andonova, S. </w:t>
      </w:r>
      <w:r w:rsidRPr="009873CA">
        <w:rPr>
          <w:rFonts w:ascii="Times New Roman" w:hAnsi="Times New Roman" w:cs="Times New Roman"/>
          <w:i/>
          <w:iCs/>
          <w:sz w:val="24"/>
          <w:szCs w:val="24"/>
        </w:rPr>
        <w:t>Factor V Leiden, Factor II, Protein C, Protein S, and Antithrombin and Ischemic Strokes in Young Adults: A Meta-Analysis</w:t>
      </w:r>
      <w:r w:rsidRPr="009873CA">
        <w:rPr>
          <w:rFonts w:ascii="Times New Roman" w:hAnsi="Times New Roman" w:cs="Times New Roman"/>
          <w:sz w:val="24"/>
          <w:szCs w:val="24"/>
        </w:rPr>
        <w:t>. Genes, 2022, 13, 2081. (IF 4.141) Q2</w:t>
      </w:r>
    </w:p>
    <w:p w14:paraId="2443742A" w14:textId="27BE627D" w:rsidR="004C78D8" w:rsidRPr="00F20C1F" w:rsidRDefault="006C00A1" w:rsidP="00420191">
      <w:pPr>
        <w:pStyle w:val="ListParagraph"/>
        <w:numPr>
          <w:ilvl w:val="1"/>
          <w:numId w:val="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BB574D" w:rsidRPr="00F20C1F">
        <w:rPr>
          <w:rFonts w:ascii="Times New Roman" w:hAnsi="Times New Roman" w:cs="Times New Roman"/>
          <w:sz w:val="24"/>
          <w:szCs w:val="24"/>
          <w:lang w:val="bg-BG"/>
        </w:rPr>
        <w:t xml:space="preserve">Исхемичните инсулти са една от водещите причини за смъртност в световен мащаб. Целта на този мета-анализ е да се изясни ролята на наследственото предразположение към тромбофилия в етиологията на исхемичните инсулти при млади хора. Ключовите думи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фактор V Leiden (FVL)</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фактор II</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протромбин (PT)</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протеин С (PC)</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протеин S (PS)</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антитромбин (AT)</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исхемичен инсулт</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и </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млади</w:t>
      </w:r>
      <w:r w:rsidR="009873CA">
        <w:rPr>
          <w:rFonts w:ascii="Times New Roman" w:hAnsi="Times New Roman" w:cs="Times New Roman"/>
          <w:sz w:val="24"/>
          <w:szCs w:val="24"/>
          <w:lang w:val="bg-BG"/>
        </w:rPr>
        <w:t>“</w:t>
      </w:r>
      <w:r w:rsidR="00BB574D" w:rsidRPr="00F20C1F">
        <w:rPr>
          <w:rFonts w:ascii="Times New Roman" w:hAnsi="Times New Roman" w:cs="Times New Roman"/>
          <w:sz w:val="24"/>
          <w:szCs w:val="24"/>
          <w:lang w:val="bg-BG"/>
        </w:rPr>
        <w:t xml:space="preserve"> бяха използвани за търсене в различни бази данни. Избрахме проучвания с участници на възраст между 18 и 65 години. Общо 104 проучвания бяха допуснати за включване в мета-анализа. Според нашите резултати всички изследвани генетични маркери са рискови фактори за исхемичен инсулт (FVL OR = 1,74; PT OR = 1,95; PC OR = 10,20; PS </w:t>
      </w:r>
      <w:r w:rsidR="00BB574D" w:rsidRPr="00F20C1F">
        <w:rPr>
          <w:rFonts w:ascii="Times New Roman" w:hAnsi="Times New Roman" w:cs="Times New Roman"/>
          <w:sz w:val="24"/>
          <w:szCs w:val="24"/>
          <w:lang w:val="bg-BG"/>
        </w:rPr>
        <w:lastRenderedPageBreak/>
        <w:t>OR = 1,74; AT OR = 3,47; p &lt; 0,05). При повечето от резултатите е налице умерена хетерогенност и са проведени анализи на подгрупите чрез разделяне на проучванията според географското местоположение, съотношението между половете и критериите за подбор на проведеното проучване. Не са установени значителни разлики между групите, но различното географско местоположение е вероятен източник на хетерогенност. Всички изследвани маркери, FVL, протромбин, PC, PS и AT, са значително свързани с повишен риск от исхемичен инсулт при млади хора и ако бъдат изследвани, биха могли да подобрят качеството на грижите за тези пациенти.</w:t>
      </w:r>
    </w:p>
    <w:p w14:paraId="023A8042" w14:textId="77777777" w:rsidR="00BB574D" w:rsidRPr="00F20C1F" w:rsidRDefault="00BB574D" w:rsidP="00420191">
      <w:pPr>
        <w:pStyle w:val="ListParagraph"/>
        <w:ind w:left="993" w:hanging="142"/>
        <w:jc w:val="both"/>
        <w:rPr>
          <w:rFonts w:ascii="Times New Roman" w:hAnsi="Times New Roman" w:cs="Times New Roman"/>
          <w:sz w:val="24"/>
          <w:szCs w:val="24"/>
          <w:lang w:val="bg-BG"/>
        </w:rPr>
      </w:pPr>
    </w:p>
    <w:p w14:paraId="7460C25B" w14:textId="234F4676" w:rsidR="00685495" w:rsidRPr="00F20C1F" w:rsidRDefault="006C00A1" w:rsidP="00420191">
      <w:pPr>
        <w:pStyle w:val="ListParagraph"/>
        <w:numPr>
          <w:ilvl w:val="1"/>
          <w:numId w:val="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BB574D" w:rsidRPr="00F20C1F">
        <w:rPr>
          <w:rFonts w:ascii="Times New Roman" w:hAnsi="Times New Roman" w:cs="Times New Roman"/>
          <w:sz w:val="24"/>
          <w:szCs w:val="24"/>
          <w:lang w:val="bg-BG"/>
        </w:rPr>
        <w:t>Ischemic strokes are one of the leading causes of death worldwide. The aim of this meta</w:t>
      </w:r>
      <w:r w:rsidR="00BB574D" w:rsidRPr="00F20C1F">
        <w:rPr>
          <w:rFonts w:ascii="Times New Roman" w:hAnsi="Times New Roman" w:cs="Times New Roman"/>
          <w:sz w:val="24"/>
          <w:szCs w:val="24"/>
        </w:rPr>
        <w:t>-</w:t>
      </w:r>
      <w:r w:rsidR="00BB574D" w:rsidRPr="00F20C1F">
        <w:rPr>
          <w:rFonts w:ascii="Times New Roman" w:hAnsi="Times New Roman" w:cs="Times New Roman"/>
          <w:sz w:val="24"/>
          <w:szCs w:val="24"/>
          <w:lang w:val="bg-BG"/>
        </w:rPr>
        <w:t>analysis is to elaborate on the role of inherited predisposition to thrombophilia in the etiology of</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ischemic strokes in young adults. The keywords factor V Leiden (FVL), factor II, prothrombin (PT),</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protein C (PC), protein S (PS), antithrombin (AT), ischemic stroke, and young were used to search</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different databases. We selected studies with participants who were between 18 and 65 years. A total</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of 104 studies were eligible for inclusion in the meta-analysis. All the studied genetic markers were</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risk factors for ischemic stroke according to our results (FVL OR = 1.74; PT OR = 1.95; PC OR = 10.20;</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PS OR = 1.74; AT OR = 3.47; p &lt; 0.05). There was moderate heterogeneity for most of the results,</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and subgroup analyses were conducted by dividing the studies according to the geographic location,</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gender ratio, and selection criteria of the performed study. There were no significant differences</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between the groups, but different geographic location was a probable source of heterogeneity. All</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of the studied markers</w:t>
      </w:r>
      <w:r w:rsidR="00BB574D" w:rsidRPr="00F20C1F">
        <w:rPr>
          <w:rFonts w:ascii="Times New Roman" w:hAnsi="Times New Roman" w:cs="Times New Roman"/>
          <w:sz w:val="24"/>
          <w:szCs w:val="24"/>
        </w:rPr>
        <w:t xml:space="preserve"> - </w:t>
      </w:r>
      <w:r w:rsidR="00BB574D" w:rsidRPr="00F20C1F">
        <w:rPr>
          <w:rFonts w:ascii="Times New Roman" w:hAnsi="Times New Roman" w:cs="Times New Roman"/>
          <w:sz w:val="24"/>
          <w:szCs w:val="24"/>
          <w:lang w:val="bg-BG"/>
        </w:rPr>
        <w:t>FVL, prothrombin, PC, PS, and AT</w:t>
      </w:r>
      <w:r w:rsidR="00BB574D" w:rsidRPr="00F20C1F">
        <w:rPr>
          <w:rFonts w:ascii="Times New Roman" w:hAnsi="Times New Roman" w:cs="Times New Roman"/>
          <w:sz w:val="24"/>
          <w:szCs w:val="24"/>
        </w:rPr>
        <w:t xml:space="preserve"> - </w:t>
      </w:r>
      <w:r w:rsidR="00BB574D" w:rsidRPr="00F20C1F">
        <w:rPr>
          <w:rFonts w:ascii="Times New Roman" w:hAnsi="Times New Roman" w:cs="Times New Roman"/>
          <w:sz w:val="24"/>
          <w:szCs w:val="24"/>
          <w:lang w:val="bg-BG"/>
        </w:rPr>
        <w:t>were significantly associated with</w:t>
      </w:r>
      <w:r w:rsidR="00BB574D" w:rsidRPr="00F20C1F">
        <w:rPr>
          <w:rFonts w:ascii="Times New Roman" w:hAnsi="Times New Roman" w:cs="Times New Roman"/>
          <w:sz w:val="24"/>
          <w:szCs w:val="24"/>
        </w:rPr>
        <w:t xml:space="preserve"> </w:t>
      </w:r>
      <w:r w:rsidR="00BB574D" w:rsidRPr="00F20C1F">
        <w:rPr>
          <w:rFonts w:ascii="Times New Roman" w:hAnsi="Times New Roman" w:cs="Times New Roman"/>
          <w:sz w:val="24"/>
          <w:szCs w:val="24"/>
          <w:lang w:val="bg-BG"/>
        </w:rPr>
        <w:t>increased risk of ischemic stroke in young adults and, if tested, could improve the quality of care.</w:t>
      </w:r>
    </w:p>
    <w:p w14:paraId="2948713A" w14:textId="77777777" w:rsidR="00675A7D" w:rsidRPr="00F20C1F" w:rsidRDefault="00675A7D" w:rsidP="00675A7D">
      <w:pPr>
        <w:pStyle w:val="ListParagraph"/>
        <w:ind w:left="1418"/>
        <w:jc w:val="both"/>
        <w:rPr>
          <w:rFonts w:ascii="Times New Roman" w:hAnsi="Times New Roman" w:cs="Times New Roman"/>
          <w:sz w:val="24"/>
          <w:szCs w:val="24"/>
          <w:lang w:val="bg-BG"/>
        </w:rPr>
      </w:pPr>
    </w:p>
    <w:p w14:paraId="2AE5B024" w14:textId="2617FC40" w:rsidR="00D66BED" w:rsidRPr="009873CA" w:rsidRDefault="00B92E58" w:rsidP="00F86383">
      <w:pPr>
        <w:pStyle w:val="ListParagraph"/>
        <w:numPr>
          <w:ilvl w:val="0"/>
          <w:numId w:val="2"/>
        </w:numPr>
        <w:jc w:val="both"/>
        <w:rPr>
          <w:rFonts w:ascii="Times New Roman" w:hAnsi="Times New Roman" w:cs="Times New Roman"/>
          <w:sz w:val="24"/>
          <w:szCs w:val="24"/>
          <w:lang w:val="bg-BG"/>
        </w:rPr>
      </w:pPr>
      <w:r w:rsidRPr="009873CA">
        <w:rPr>
          <w:rFonts w:ascii="Times New Roman" w:hAnsi="Times New Roman" w:cs="Times New Roman"/>
          <w:b/>
          <w:bCs/>
          <w:sz w:val="24"/>
          <w:szCs w:val="24"/>
          <w:lang w:val="bg-BG"/>
        </w:rPr>
        <w:t>Levkova, M</w:t>
      </w:r>
      <w:r w:rsidRPr="009873CA">
        <w:rPr>
          <w:rFonts w:ascii="Times New Roman" w:hAnsi="Times New Roman" w:cs="Times New Roman"/>
          <w:sz w:val="24"/>
          <w:szCs w:val="24"/>
          <w:lang w:val="bg-BG"/>
        </w:rPr>
        <w:t xml:space="preserve">., Chervenkov, T., Hachmeriyan, M., &amp; Angelova, L. (2022). </w:t>
      </w:r>
      <w:r w:rsidRPr="009873CA">
        <w:rPr>
          <w:rFonts w:ascii="Times New Roman" w:hAnsi="Times New Roman" w:cs="Times New Roman"/>
          <w:i/>
          <w:iCs/>
          <w:sz w:val="24"/>
          <w:szCs w:val="24"/>
          <w:lang w:val="bg-BG"/>
        </w:rPr>
        <w:t>Overview of current NGS testing for male factor infertility</w:t>
      </w:r>
      <w:r w:rsidRPr="009873CA">
        <w:rPr>
          <w:rFonts w:ascii="Times New Roman" w:hAnsi="Times New Roman" w:cs="Times New Roman"/>
          <w:sz w:val="24"/>
          <w:szCs w:val="24"/>
          <w:lang w:val="bg-BG"/>
        </w:rPr>
        <w:t>. Russian Open Medical Journal, 11(1), 101. (Scopus, Web of Science) Q4</w:t>
      </w:r>
    </w:p>
    <w:p w14:paraId="153D8DE2" w14:textId="08F309E3" w:rsidR="004C78D8" w:rsidRPr="00F20C1F" w:rsidRDefault="006C00A1" w:rsidP="00675A7D">
      <w:pPr>
        <w:pStyle w:val="ListParagraph"/>
        <w:numPr>
          <w:ilvl w:val="1"/>
          <w:numId w:val="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675A7D" w:rsidRPr="00F20C1F">
        <w:rPr>
          <w:rFonts w:ascii="Times New Roman" w:hAnsi="Times New Roman" w:cs="Times New Roman"/>
          <w:sz w:val="24"/>
          <w:szCs w:val="24"/>
          <w:lang w:val="bg-BG"/>
        </w:rPr>
        <w:t xml:space="preserve">Цел - </w:t>
      </w:r>
      <w:r w:rsidR="006C4955">
        <w:rPr>
          <w:rFonts w:ascii="Times New Roman" w:hAnsi="Times New Roman" w:cs="Times New Roman"/>
          <w:sz w:val="24"/>
          <w:szCs w:val="24"/>
          <w:lang w:val="bg-BG"/>
        </w:rPr>
        <w:t>Инфертилитетът</w:t>
      </w:r>
      <w:r w:rsidR="00675A7D" w:rsidRPr="00F20C1F">
        <w:rPr>
          <w:rFonts w:ascii="Times New Roman" w:hAnsi="Times New Roman" w:cs="Times New Roman"/>
          <w:sz w:val="24"/>
          <w:szCs w:val="24"/>
          <w:lang w:val="bg-BG"/>
        </w:rPr>
        <w:t xml:space="preserve"> е глобален здравен проблем. Секвенирането от следващо поколение и </w:t>
      </w:r>
      <w:r w:rsidR="006C4955">
        <w:rPr>
          <w:rFonts w:ascii="Times New Roman" w:hAnsi="Times New Roman" w:cs="Times New Roman"/>
          <w:sz w:val="24"/>
          <w:szCs w:val="24"/>
          <w:lang w:val="bg-BG"/>
        </w:rPr>
        <w:t>таргетните</w:t>
      </w:r>
      <w:r w:rsidR="00675A7D" w:rsidRPr="00F20C1F">
        <w:rPr>
          <w:rFonts w:ascii="Times New Roman" w:hAnsi="Times New Roman" w:cs="Times New Roman"/>
          <w:sz w:val="24"/>
          <w:szCs w:val="24"/>
          <w:lang w:val="bg-BG"/>
        </w:rPr>
        <w:t xml:space="preserve"> тестове предлагат нови възможности за допълнително диагностициране на причината за мъжкото безплодие. Целта на тази статия е да предостави по-добра представа за наличните понастоящем панели за мъжки стерилитет, дължащ се на нарушена сперматогенеза. Методи - Проведохме проучване в регистъра за генетични изследвания, като използвахме ключовите думи "безплодие", "мъжко безплодие".</w:t>
      </w:r>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Събрахме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също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така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информация</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за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броя</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тестваните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гени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обхвата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панелите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времето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за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изпълнение</w:t>
      </w:r>
      <w:proofErr w:type="spellEnd"/>
      <w:r w:rsidR="00675A7D" w:rsidRPr="00F20C1F">
        <w:rPr>
          <w:rFonts w:ascii="Times New Roman" w:hAnsi="Times New Roman" w:cs="Times New Roman"/>
          <w:sz w:val="24"/>
          <w:szCs w:val="24"/>
        </w:rPr>
        <w:t xml:space="preserve"> и </w:t>
      </w:r>
      <w:proofErr w:type="spellStart"/>
      <w:r w:rsidR="00675A7D" w:rsidRPr="00F20C1F">
        <w:rPr>
          <w:rFonts w:ascii="Times New Roman" w:hAnsi="Times New Roman" w:cs="Times New Roman"/>
          <w:sz w:val="24"/>
          <w:szCs w:val="24"/>
        </w:rPr>
        <w:t>всички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допълнителни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тестове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които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могат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да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бъдат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поръчани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Резултати</w:t>
      </w:r>
      <w:proofErr w:type="spellEnd"/>
      <w:r w:rsidR="00675A7D" w:rsidRPr="00F20C1F">
        <w:rPr>
          <w:rFonts w:ascii="Times New Roman" w:hAnsi="Times New Roman" w:cs="Times New Roman"/>
          <w:sz w:val="24"/>
          <w:szCs w:val="24"/>
        </w:rPr>
        <w:t xml:space="preserve"> - В </w:t>
      </w:r>
      <w:proofErr w:type="spellStart"/>
      <w:r w:rsidR="00675A7D" w:rsidRPr="00F20C1F">
        <w:rPr>
          <w:rFonts w:ascii="Times New Roman" w:hAnsi="Times New Roman" w:cs="Times New Roman"/>
          <w:sz w:val="24"/>
          <w:szCs w:val="24"/>
        </w:rPr>
        <w:t>резултат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на</w:t>
      </w:r>
      <w:proofErr w:type="spellEnd"/>
      <w:r w:rsidR="006C4955">
        <w:rPr>
          <w:rFonts w:ascii="Times New Roman" w:hAnsi="Times New Roman" w:cs="Times New Roman"/>
          <w:sz w:val="24"/>
          <w:szCs w:val="24"/>
          <w:lang w:val="bg-BG"/>
        </w:rPr>
        <w:t xml:space="preserve"> търсенето бяха открити</w:t>
      </w:r>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единадесет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лаборатории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предлагащи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панелни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тестове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за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мъжко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безплодие</w:t>
      </w:r>
      <w:proofErr w:type="spellEnd"/>
      <w:r w:rsidR="00675A7D" w:rsidRPr="00F20C1F">
        <w:rPr>
          <w:rFonts w:ascii="Times New Roman" w:hAnsi="Times New Roman" w:cs="Times New Roman"/>
          <w:sz w:val="24"/>
          <w:szCs w:val="24"/>
        </w:rPr>
        <w:t xml:space="preserve">, </w:t>
      </w:r>
      <w:r w:rsidR="006C4955">
        <w:rPr>
          <w:rFonts w:ascii="Times New Roman" w:hAnsi="Times New Roman" w:cs="Times New Roman"/>
          <w:sz w:val="24"/>
          <w:szCs w:val="24"/>
          <w:lang w:val="bg-BG"/>
        </w:rPr>
        <w:t xml:space="preserve">като те </w:t>
      </w:r>
      <w:proofErr w:type="spellStart"/>
      <w:r w:rsidR="00675A7D" w:rsidRPr="00F20C1F">
        <w:rPr>
          <w:rFonts w:ascii="Times New Roman" w:hAnsi="Times New Roman" w:cs="Times New Roman"/>
          <w:sz w:val="24"/>
          <w:szCs w:val="24"/>
        </w:rPr>
        <w:t>изследваха</w:t>
      </w:r>
      <w:proofErr w:type="spellEnd"/>
      <w:r w:rsidR="00675A7D" w:rsidRPr="00F20C1F">
        <w:rPr>
          <w:rFonts w:ascii="Times New Roman" w:hAnsi="Times New Roman" w:cs="Times New Roman"/>
          <w:sz w:val="24"/>
          <w:szCs w:val="24"/>
        </w:rPr>
        <w:t xml:space="preserve"> 230 </w:t>
      </w:r>
      <w:proofErr w:type="spellStart"/>
      <w:r w:rsidR="00675A7D" w:rsidRPr="00F20C1F">
        <w:rPr>
          <w:rFonts w:ascii="Times New Roman" w:hAnsi="Times New Roman" w:cs="Times New Roman"/>
          <w:sz w:val="24"/>
          <w:szCs w:val="24"/>
        </w:rPr>
        <w:t>различни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гена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но</w:t>
      </w:r>
      <w:proofErr w:type="spellEnd"/>
      <w:r w:rsidR="00675A7D" w:rsidRPr="00F20C1F">
        <w:rPr>
          <w:rFonts w:ascii="Times New Roman" w:hAnsi="Times New Roman" w:cs="Times New Roman"/>
          <w:sz w:val="24"/>
          <w:szCs w:val="24"/>
        </w:rPr>
        <w:t xml:space="preserve"> 65 </w:t>
      </w:r>
      <w:proofErr w:type="spellStart"/>
      <w:r w:rsidR="00675A7D" w:rsidRPr="00F20C1F">
        <w:rPr>
          <w:rFonts w:ascii="Times New Roman" w:hAnsi="Times New Roman" w:cs="Times New Roman"/>
          <w:sz w:val="24"/>
          <w:szCs w:val="24"/>
        </w:rPr>
        <w:t>гена</w:t>
      </w:r>
      <w:proofErr w:type="spellEnd"/>
      <w:r w:rsidR="00675A7D" w:rsidRPr="00F20C1F">
        <w:rPr>
          <w:rFonts w:ascii="Times New Roman" w:hAnsi="Times New Roman" w:cs="Times New Roman"/>
          <w:sz w:val="24"/>
          <w:szCs w:val="24"/>
        </w:rPr>
        <w:t xml:space="preserve"> (28,26%) </w:t>
      </w:r>
      <w:proofErr w:type="spellStart"/>
      <w:r w:rsidR="00675A7D" w:rsidRPr="00F20C1F">
        <w:rPr>
          <w:rFonts w:ascii="Times New Roman" w:hAnsi="Times New Roman" w:cs="Times New Roman"/>
          <w:sz w:val="24"/>
          <w:szCs w:val="24"/>
        </w:rPr>
        <w:t>от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различните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панели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имаха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несигурна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роля</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за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изследваното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състояние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Единственият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ген</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предложен</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от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всички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лаборатории</w:t>
      </w:r>
      <w:proofErr w:type="spellEnd"/>
      <w:r w:rsidR="00675A7D" w:rsidRPr="00F20C1F">
        <w:rPr>
          <w:rFonts w:ascii="Times New Roman" w:hAnsi="Times New Roman" w:cs="Times New Roman"/>
          <w:sz w:val="24"/>
          <w:szCs w:val="24"/>
        </w:rPr>
        <w:t xml:space="preserve">, е </w:t>
      </w:r>
      <w:r w:rsidR="006C4955" w:rsidRPr="006C4955">
        <w:rPr>
          <w:rFonts w:ascii="Times New Roman" w:hAnsi="Times New Roman" w:cs="Times New Roman"/>
          <w:i/>
          <w:iCs/>
          <w:sz w:val="24"/>
          <w:szCs w:val="24"/>
        </w:rPr>
        <w:lastRenderedPageBreak/>
        <w:t>CFTR</w:t>
      </w:r>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Заключени</w:t>
      </w:r>
      <w:proofErr w:type="spellEnd"/>
      <w:r w:rsidR="006C4955">
        <w:rPr>
          <w:rFonts w:ascii="Times New Roman" w:hAnsi="Times New Roman" w:cs="Times New Roman"/>
          <w:sz w:val="24"/>
          <w:szCs w:val="24"/>
          <w:lang w:val="bg-BG"/>
        </w:rPr>
        <w:t>е</w:t>
      </w:r>
      <w:r w:rsidR="00675A7D" w:rsidRPr="00F20C1F">
        <w:rPr>
          <w:rFonts w:ascii="Times New Roman" w:hAnsi="Times New Roman" w:cs="Times New Roman"/>
          <w:sz w:val="24"/>
          <w:szCs w:val="24"/>
        </w:rPr>
        <w:t xml:space="preserve"> - </w:t>
      </w:r>
      <w:proofErr w:type="spellStart"/>
      <w:r w:rsidR="00675A7D" w:rsidRPr="00F20C1F">
        <w:rPr>
          <w:rFonts w:ascii="Times New Roman" w:hAnsi="Times New Roman" w:cs="Times New Roman"/>
          <w:sz w:val="24"/>
          <w:szCs w:val="24"/>
        </w:rPr>
        <w:t>Секвенирането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от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следващо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поколение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може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да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бъде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изключително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полезно</w:t>
      </w:r>
      <w:proofErr w:type="spellEnd"/>
      <w:r w:rsidR="00675A7D" w:rsidRPr="00F20C1F">
        <w:rPr>
          <w:rFonts w:ascii="Times New Roman" w:hAnsi="Times New Roman" w:cs="Times New Roman"/>
          <w:sz w:val="24"/>
          <w:szCs w:val="24"/>
        </w:rPr>
        <w:t xml:space="preserve"> в </w:t>
      </w:r>
      <w:proofErr w:type="spellStart"/>
      <w:r w:rsidR="00675A7D" w:rsidRPr="00F20C1F">
        <w:rPr>
          <w:rFonts w:ascii="Times New Roman" w:hAnsi="Times New Roman" w:cs="Times New Roman"/>
          <w:sz w:val="24"/>
          <w:szCs w:val="24"/>
        </w:rPr>
        <w:t>процеса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диагностика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мъжкото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безплодие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Въпреки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това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лекарите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трябва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да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имат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предвид</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че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някои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от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включените</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гени</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имат</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неясна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роля</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за</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мъжкото</w:t>
      </w:r>
      <w:proofErr w:type="spellEnd"/>
      <w:r w:rsidR="00675A7D" w:rsidRPr="00F20C1F">
        <w:rPr>
          <w:rFonts w:ascii="Times New Roman" w:hAnsi="Times New Roman" w:cs="Times New Roman"/>
          <w:sz w:val="24"/>
          <w:szCs w:val="24"/>
        </w:rPr>
        <w:t xml:space="preserve"> </w:t>
      </w:r>
      <w:proofErr w:type="spellStart"/>
      <w:r w:rsidR="00675A7D" w:rsidRPr="00F20C1F">
        <w:rPr>
          <w:rFonts w:ascii="Times New Roman" w:hAnsi="Times New Roman" w:cs="Times New Roman"/>
          <w:sz w:val="24"/>
          <w:szCs w:val="24"/>
        </w:rPr>
        <w:t>безплодие</w:t>
      </w:r>
      <w:proofErr w:type="spellEnd"/>
      <w:r w:rsidR="00675A7D" w:rsidRPr="00F20C1F">
        <w:rPr>
          <w:rFonts w:ascii="Times New Roman" w:hAnsi="Times New Roman" w:cs="Times New Roman"/>
          <w:sz w:val="24"/>
          <w:szCs w:val="24"/>
        </w:rPr>
        <w:t>.</w:t>
      </w:r>
    </w:p>
    <w:p w14:paraId="01989C9D" w14:textId="77777777" w:rsidR="00675A7D" w:rsidRPr="00F20C1F" w:rsidRDefault="00675A7D" w:rsidP="00675A7D">
      <w:pPr>
        <w:pStyle w:val="ListParagraph"/>
        <w:ind w:left="993"/>
        <w:jc w:val="both"/>
        <w:rPr>
          <w:rFonts w:ascii="Times New Roman" w:hAnsi="Times New Roman" w:cs="Times New Roman"/>
          <w:sz w:val="24"/>
          <w:szCs w:val="24"/>
          <w:lang w:val="bg-BG"/>
        </w:rPr>
      </w:pPr>
    </w:p>
    <w:p w14:paraId="66C2EA5F" w14:textId="26036415" w:rsidR="00685495" w:rsidRPr="00F20C1F" w:rsidRDefault="006C00A1" w:rsidP="00675A7D">
      <w:pPr>
        <w:pStyle w:val="ListParagraph"/>
        <w:numPr>
          <w:ilvl w:val="1"/>
          <w:numId w:val="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BB574D" w:rsidRPr="00F20C1F">
        <w:rPr>
          <w:rFonts w:ascii="Times New Roman" w:hAnsi="Times New Roman" w:cs="Times New Roman"/>
          <w:sz w:val="24"/>
          <w:szCs w:val="24"/>
        </w:rPr>
        <w:t>Aim — Infertility is a global health problem. The next-generation sequencing and panel testing are offering new opportunities to further diagnose the reason for male infertility. The aim of this paper is to provide a better insight into the currently available panels for male infertility due to impaired spermatogenesis. Methods — We conducted research in the Genetic testing registry by using the keywords „</w:t>
      </w:r>
      <w:proofErr w:type="gramStart"/>
      <w:r w:rsidR="00BB574D" w:rsidRPr="00F20C1F">
        <w:rPr>
          <w:rFonts w:ascii="Times New Roman" w:hAnsi="Times New Roman" w:cs="Times New Roman"/>
          <w:sz w:val="24"/>
          <w:szCs w:val="24"/>
        </w:rPr>
        <w:t>infertility“</w:t>
      </w:r>
      <w:proofErr w:type="gramEnd"/>
      <w:r w:rsidR="00BB574D" w:rsidRPr="00F20C1F">
        <w:rPr>
          <w:rFonts w:ascii="Times New Roman" w:hAnsi="Times New Roman" w:cs="Times New Roman"/>
          <w:sz w:val="24"/>
          <w:szCs w:val="24"/>
        </w:rPr>
        <w:t>, „male infertility“. We also gathered information about the number of tested genes, coverage of the panels, turnaround time, and any additional tests, which could be ordered. Results — As a result there were eleven laboratories, offering panel testing for male infertility, which tested for 230 different genes, but 65 genes (28.26%) from the different panels had an uncertain role for the tested condition. Cystic fibrosis transmembrane conductance regulator was the only gene, suggested by all laboratories. Conclusions — Next-generation sequencing could be extremely helpful in the diagnostic process of male infertility. However, clinicians should be aware that some of the included genes have an uncertain role for male infertility.</w:t>
      </w:r>
      <w:r w:rsidR="00BB574D" w:rsidRPr="00F20C1F">
        <w:rPr>
          <w:rFonts w:ascii="Times New Roman" w:hAnsi="Times New Roman" w:cs="Times New Roman"/>
          <w:b/>
          <w:bCs/>
          <w:sz w:val="24"/>
          <w:szCs w:val="24"/>
        </w:rPr>
        <w:t xml:space="preserve"> </w:t>
      </w:r>
    </w:p>
    <w:p w14:paraId="53B26B94" w14:textId="77777777" w:rsidR="00D66BED" w:rsidRPr="00F20C1F" w:rsidRDefault="00D66BED" w:rsidP="00D66BED">
      <w:pPr>
        <w:jc w:val="both"/>
        <w:rPr>
          <w:rFonts w:ascii="Times New Roman" w:hAnsi="Times New Roman" w:cs="Times New Roman"/>
          <w:b/>
          <w:bCs/>
          <w:sz w:val="24"/>
          <w:szCs w:val="24"/>
          <w:lang w:val="bg-BG"/>
        </w:rPr>
      </w:pPr>
    </w:p>
    <w:p w14:paraId="727F256F" w14:textId="7A8B3985" w:rsidR="00D66BED" w:rsidRPr="00F20C1F" w:rsidRDefault="00161774" w:rsidP="00420191">
      <w:pPr>
        <w:pStyle w:val="ListParagraph"/>
        <w:jc w:val="both"/>
        <w:rPr>
          <w:rFonts w:ascii="Times New Roman" w:hAnsi="Times New Roman" w:cs="Times New Roman"/>
          <w:b/>
          <w:bCs/>
          <w:i/>
          <w:iCs/>
          <w:sz w:val="24"/>
          <w:szCs w:val="24"/>
          <w:lang w:val="bg-BG"/>
        </w:rPr>
      </w:pPr>
      <w:r w:rsidRPr="00F20C1F">
        <w:rPr>
          <w:rFonts w:ascii="Times New Roman" w:hAnsi="Times New Roman" w:cs="Times New Roman"/>
          <w:b/>
          <w:bCs/>
          <w:i/>
          <w:iCs/>
          <w:sz w:val="24"/>
          <w:szCs w:val="24"/>
          <w:lang w:val="bg-BG"/>
        </w:rPr>
        <w:t>Показател Г7. Публикации и доклади, публикувани в научни издания, реферирани и индексирани в световноизвестни бази данни с научна информация.</w:t>
      </w:r>
    </w:p>
    <w:p w14:paraId="7B90A738" w14:textId="77777777" w:rsidR="00420191" w:rsidRPr="00F20C1F" w:rsidRDefault="00420191" w:rsidP="00420191">
      <w:pPr>
        <w:pStyle w:val="ListParagraph"/>
        <w:jc w:val="both"/>
        <w:rPr>
          <w:rFonts w:ascii="Times New Roman" w:hAnsi="Times New Roman" w:cs="Times New Roman"/>
          <w:b/>
          <w:bCs/>
          <w:i/>
          <w:iCs/>
          <w:sz w:val="24"/>
          <w:szCs w:val="24"/>
          <w:lang w:val="bg-BG"/>
        </w:rPr>
      </w:pPr>
    </w:p>
    <w:p w14:paraId="45B3C573" w14:textId="490E5C1C" w:rsidR="00161774" w:rsidRPr="002667C1" w:rsidRDefault="00B92E58" w:rsidP="00F86383">
      <w:pPr>
        <w:pStyle w:val="ListParagraph"/>
        <w:numPr>
          <w:ilvl w:val="0"/>
          <w:numId w:val="4"/>
        </w:numPr>
        <w:jc w:val="both"/>
        <w:rPr>
          <w:rFonts w:ascii="Times New Roman" w:hAnsi="Times New Roman" w:cs="Times New Roman"/>
          <w:sz w:val="24"/>
          <w:szCs w:val="24"/>
          <w:lang w:val="bg-BG"/>
        </w:rPr>
      </w:pPr>
      <w:r w:rsidRPr="002667C1">
        <w:rPr>
          <w:rFonts w:ascii="Times New Roman" w:hAnsi="Times New Roman" w:cs="Times New Roman"/>
          <w:b/>
          <w:bCs/>
          <w:sz w:val="24"/>
          <w:szCs w:val="24"/>
          <w:lang w:val="bg-BG"/>
        </w:rPr>
        <w:t>Levkova, M</w:t>
      </w:r>
      <w:r w:rsidRPr="002667C1">
        <w:rPr>
          <w:rFonts w:ascii="Times New Roman" w:hAnsi="Times New Roman" w:cs="Times New Roman"/>
          <w:sz w:val="24"/>
          <w:szCs w:val="24"/>
          <w:lang w:val="bg-BG"/>
        </w:rPr>
        <w:t xml:space="preserve">., M. Hachmeriyan, M Stoyanova, V Miteva, L Angelova. </w:t>
      </w:r>
      <w:r w:rsidRPr="002667C1">
        <w:rPr>
          <w:rFonts w:ascii="Times New Roman" w:hAnsi="Times New Roman" w:cs="Times New Roman"/>
          <w:i/>
          <w:iCs/>
          <w:sz w:val="24"/>
          <w:szCs w:val="24"/>
          <w:lang w:val="bg-BG"/>
        </w:rPr>
        <w:t>Comparison between thrombophilic gene polymorphisms among high-risk patients</w:t>
      </w:r>
      <w:r w:rsidRPr="002667C1">
        <w:rPr>
          <w:rFonts w:ascii="Times New Roman" w:hAnsi="Times New Roman" w:cs="Times New Roman"/>
          <w:sz w:val="24"/>
          <w:szCs w:val="24"/>
          <w:lang w:val="bg-BG"/>
        </w:rPr>
        <w:t>. Romanian Journal of Internal Medicine, DOI:10.2478/rjim-2019-0021, 2019,  1-15. Q3</w:t>
      </w:r>
    </w:p>
    <w:p w14:paraId="6C5147FC" w14:textId="698BA087" w:rsidR="00C17C17" w:rsidRPr="00F20C1F" w:rsidRDefault="00F86383" w:rsidP="00420191">
      <w:pPr>
        <w:pStyle w:val="ListParagraph"/>
        <w:numPr>
          <w:ilvl w:val="1"/>
          <w:numId w:val="7"/>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420191" w:rsidRPr="00F20C1F">
        <w:rPr>
          <w:rFonts w:ascii="Times New Roman" w:hAnsi="Times New Roman" w:cs="Times New Roman"/>
          <w:sz w:val="24"/>
          <w:szCs w:val="24"/>
          <w:lang w:val="bg-BG"/>
        </w:rPr>
        <w:t>Въведение</w:t>
      </w:r>
      <w:r w:rsidR="001003F7">
        <w:rPr>
          <w:rFonts w:ascii="Times New Roman" w:hAnsi="Times New Roman" w:cs="Times New Roman"/>
          <w:sz w:val="24"/>
          <w:szCs w:val="24"/>
          <w:lang w:val="bg-BG"/>
        </w:rPr>
        <w:t>:</w:t>
      </w:r>
      <w:r w:rsidR="00420191" w:rsidRPr="00F20C1F">
        <w:rPr>
          <w:rFonts w:ascii="Times New Roman" w:hAnsi="Times New Roman" w:cs="Times New Roman"/>
          <w:sz w:val="24"/>
          <w:szCs w:val="24"/>
          <w:lang w:val="bg-BG"/>
        </w:rPr>
        <w:t xml:space="preserve"> Целта на това проучване е да се сравни ролята на тромбофилните варианти сред две групи високорискови пациенти със съдови нарушения и повтаряща се загуба на бременност. Методи</w:t>
      </w:r>
      <w:r w:rsidR="001003F7">
        <w:rPr>
          <w:rFonts w:ascii="Times New Roman" w:hAnsi="Times New Roman" w:cs="Times New Roman"/>
          <w:sz w:val="24"/>
          <w:szCs w:val="24"/>
          <w:lang w:val="bg-BG"/>
        </w:rPr>
        <w:t>:</w:t>
      </w:r>
      <w:r w:rsidR="00420191" w:rsidRPr="00F20C1F">
        <w:rPr>
          <w:rFonts w:ascii="Times New Roman" w:hAnsi="Times New Roman" w:cs="Times New Roman"/>
          <w:sz w:val="24"/>
          <w:szCs w:val="24"/>
          <w:lang w:val="bg-BG"/>
        </w:rPr>
        <w:t xml:space="preserve"> 200 пациент</w:t>
      </w:r>
      <w:r w:rsidR="001003F7">
        <w:rPr>
          <w:rFonts w:ascii="Times New Roman" w:hAnsi="Times New Roman" w:cs="Times New Roman"/>
          <w:sz w:val="24"/>
          <w:szCs w:val="24"/>
          <w:lang w:val="bg-BG"/>
        </w:rPr>
        <w:t>а</w:t>
      </w:r>
      <w:r w:rsidR="00420191" w:rsidRPr="00F20C1F">
        <w:rPr>
          <w:rFonts w:ascii="Times New Roman" w:hAnsi="Times New Roman" w:cs="Times New Roman"/>
          <w:sz w:val="24"/>
          <w:szCs w:val="24"/>
          <w:lang w:val="bg-BG"/>
        </w:rPr>
        <w:t>, включително 76 с тромботични инциденти и 124 с два или повече идиопатични</w:t>
      </w:r>
      <w:r w:rsidR="001003F7">
        <w:rPr>
          <w:rFonts w:ascii="Times New Roman" w:hAnsi="Times New Roman" w:cs="Times New Roman"/>
          <w:sz w:val="24"/>
          <w:szCs w:val="24"/>
          <w:lang w:val="bg-BG"/>
        </w:rPr>
        <w:t>,</w:t>
      </w:r>
      <w:r w:rsidR="00420191" w:rsidRPr="00F20C1F">
        <w:rPr>
          <w:rFonts w:ascii="Times New Roman" w:hAnsi="Times New Roman" w:cs="Times New Roman"/>
          <w:sz w:val="24"/>
          <w:szCs w:val="24"/>
          <w:lang w:val="bg-BG"/>
        </w:rPr>
        <w:t xml:space="preserve"> повтарящи се спонтанни аборта през първия триместър, са изследвани за наличие на полиморфизми на фактор V (F V) Leiden G1691A, фактор II (F II) G20210A, инхибитор на плазминогенния активатор (PAI) 4G/5G и метилентетрахидрофолат редуктаза (MTHFR) C677T с помощта на полимеразно-верижна реакция в реално време (RT - PCR) в Лабораторията по медицинска генетика, Варна, България между юни 2016 г. и май 2019 г. Честотите на полиморфизмите на тромбофилните гени бяха сравнени между двете </w:t>
      </w:r>
      <w:r w:rsidR="001003F7">
        <w:rPr>
          <w:rFonts w:ascii="Times New Roman" w:hAnsi="Times New Roman" w:cs="Times New Roman"/>
          <w:sz w:val="24"/>
          <w:szCs w:val="24"/>
          <w:lang w:val="bg-BG"/>
        </w:rPr>
        <w:t>групи</w:t>
      </w:r>
      <w:r w:rsidR="00420191" w:rsidRPr="00F20C1F">
        <w:rPr>
          <w:rFonts w:ascii="Times New Roman" w:hAnsi="Times New Roman" w:cs="Times New Roman"/>
          <w:sz w:val="24"/>
          <w:szCs w:val="24"/>
          <w:lang w:val="bg-BG"/>
        </w:rPr>
        <w:t xml:space="preserve"> и с очакваните </w:t>
      </w:r>
      <w:r w:rsidR="001003F7">
        <w:rPr>
          <w:rFonts w:ascii="Times New Roman" w:hAnsi="Times New Roman" w:cs="Times New Roman"/>
          <w:sz w:val="24"/>
          <w:szCs w:val="24"/>
          <w:lang w:val="bg-BG"/>
        </w:rPr>
        <w:t xml:space="preserve">популационни </w:t>
      </w:r>
      <w:r w:rsidR="00420191" w:rsidRPr="00F20C1F">
        <w:rPr>
          <w:rFonts w:ascii="Times New Roman" w:hAnsi="Times New Roman" w:cs="Times New Roman"/>
          <w:sz w:val="24"/>
          <w:szCs w:val="24"/>
          <w:lang w:val="bg-BG"/>
        </w:rPr>
        <w:t>честоти на генотиповете. Резултати</w:t>
      </w:r>
      <w:r w:rsidR="001003F7">
        <w:rPr>
          <w:rFonts w:ascii="Times New Roman" w:hAnsi="Times New Roman" w:cs="Times New Roman"/>
          <w:sz w:val="24"/>
          <w:szCs w:val="24"/>
          <w:lang w:val="bg-BG"/>
        </w:rPr>
        <w:t>:</w:t>
      </w:r>
      <w:r w:rsidR="00420191" w:rsidRPr="00F20C1F">
        <w:rPr>
          <w:rFonts w:ascii="Times New Roman" w:hAnsi="Times New Roman" w:cs="Times New Roman"/>
          <w:sz w:val="24"/>
          <w:szCs w:val="24"/>
          <w:lang w:val="bg-BG"/>
        </w:rPr>
        <w:t xml:space="preserve"> Лицата с анамнеза за съдови нарушения са имали значително по-висока честота на варианта F V Leiden в сравнение с жените с повтарящи се спонтанни аборти. Няма статистическа разлика между анализираните пациенти по отношение на другите три тромбофилни полиморфизма. Алелните честоти и очакваните генотипни честоти на </w:t>
      </w:r>
      <w:r w:rsidR="00420191" w:rsidRPr="00F20C1F">
        <w:rPr>
          <w:rFonts w:ascii="Times New Roman" w:hAnsi="Times New Roman" w:cs="Times New Roman"/>
          <w:sz w:val="24"/>
          <w:szCs w:val="24"/>
          <w:lang w:val="bg-BG"/>
        </w:rPr>
        <w:lastRenderedPageBreak/>
        <w:t>полиморфизмите F V, F II и MTHFR са изчислени в съответствие с равновесието на Харди-Вайнберг. Процентът на хомозиготите за F V и F II е по-висок от очакваното в двете групи пациенти. При MTHFR няма разлика. Заключение</w:t>
      </w:r>
      <w:r w:rsidR="001003F7">
        <w:rPr>
          <w:rFonts w:ascii="Times New Roman" w:hAnsi="Times New Roman" w:cs="Times New Roman"/>
          <w:sz w:val="24"/>
          <w:szCs w:val="24"/>
          <w:lang w:val="bg-BG"/>
        </w:rPr>
        <w:t>:</w:t>
      </w:r>
      <w:r w:rsidR="00420191" w:rsidRPr="00F20C1F">
        <w:rPr>
          <w:rFonts w:ascii="Times New Roman" w:hAnsi="Times New Roman" w:cs="Times New Roman"/>
          <w:sz w:val="24"/>
          <w:szCs w:val="24"/>
          <w:lang w:val="bg-BG"/>
        </w:rPr>
        <w:t xml:space="preserve"> F V Leiden остава най-силният рисков фактор за съдови нарушения и повтаряща се загуба на бременност. Скринингът за този вариант трябва да се препоръчва на пациенти с тромботични инциденти и на жени с повтарящи се спонтанни аборти. Ролята на F II, PAI и MTHFR остава противоречива.</w:t>
      </w:r>
    </w:p>
    <w:p w14:paraId="727BE0A1" w14:textId="77777777" w:rsidR="00420191" w:rsidRPr="00F20C1F" w:rsidRDefault="00420191" w:rsidP="00420191">
      <w:pPr>
        <w:pStyle w:val="ListParagraph"/>
        <w:ind w:left="993"/>
        <w:jc w:val="both"/>
        <w:rPr>
          <w:rFonts w:ascii="Times New Roman" w:hAnsi="Times New Roman" w:cs="Times New Roman"/>
          <w:sz w:val="24"/>
          <w:szCs w:val="24"/>
          <w:lang w:val="bg-BG"/>
        </w:rPr>
      </w:pPr>
    </w:p>
    <w:p w14:paraId="0CF11B49" w14:textId="2C1230CB" w:rsidR="00F86383" w:rsidRPr="00F20C1F" w:rsidRDefault="00F86383" w:rsidP="00420191">
      <w:pPr>
        <w:pStyle w:val="ListParagraph"/>
        <w:numPr>
          <w:ilvl w:val="1"/>
          <w:numId w:val="7"/>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B92E58" w:rsidRPr="00F20C1F">
        <w:rPr>
          <w:rFonts w:ascii="Times New Roman" w:hAnsi="Times New Roman" w:cs="Times New Roman"/>
          <w:sz w:val="24"/>
          <w:szCs w:val="24"/>
        </w:rPr>
        <w:t>Introduction</w:t>
      </w:r>
      <w:r w:rsidR="001003F7">
        <w:rPr>
          <w:rFonts w:ascii="Times New Roman" w:hAnsi="Times New Roman" w:cs="Times New Roman"/>
          <w:sz w:val="24"/>
          <w:szCs w:val="24"/>
          <w:lang w:val="bg-BG"/>
        </w:rPr>
        <w:t>:</w:t>
      </w:r>
      <w:r w:rsidR="00B92E58" w:rsidRPr="00F20C1F">
        <w:rPr>
          <w:rFonts w:ascii="Times New Roman" w:hAnsi="Times New Roman" w:cs="Times New Roman"/>
          <w:sz w:val="24"/>
          <w:szCs w:val="24"/>
        </w:rPr>
        <w:t xml:space="preserve"> The purpose of this study was to compare the role of the </w:t>
      </w:r>
      <w:proofErr w:type="spellStart"/>
      <w:r w:rsidR="00B92E58" w:rsidRPr="00F20C1F">
        <w:rPr>
          <w:rFonts w:ascii="Times New Roman" w:hAnsi="Times New Roman" w:cs="Times New Roman"/>
          <w:sz w:val="24"/>
          <w:szCs w:val="24"/>
        </w:rPr>
        <w:t>thrombophilic</w:t>
      </w:r>
      <w:proofErr w:type="spellEnd"/>
      <w:r w:rsidR="00B92E58" w:rsidRPr="00F20C1F">
        <w:rPr>
          <w:rFonts w:ascii="Times New Roman" w:hAnsi="Times New Roman" w:cs="Times New Roman"/>
          <w:sz w:val="24"/>
          <w:szCs w:val="24"/>
        </w:rPr>
        <w:t xml:space="preserve"> variants among two groups of high-risk patients with vascular disorders and recurrent pregnancy loss. Methods</w:t>
      </w:r>
      <w:r w:rsidR="001003F7">
        <w:rPr>
          <w:rFonts w:ascii="Times New Roman" w:hAnsi="Times New Roman" w:cs="Times New Roman"/>
          <w:sz w:val="24"/>
          <w:szCs w:val="24"/>
          <w:lang w:val="bg-BG"/>
        </w:rPr>
        <w:t>:</w:t>
      </w:r>
      <w:r w:rsidR="00B92E58" w:rsidRPr="00F20C1F">
        <w:rPr>
          <w:rFonts w:ascii="Times New Roman" w:hAnsi="Times New Roman" w:cs="Times New Roman"/>
          <w:sz w:val="24"/>
          <w:szCs w:val="24"/>
        </w:rPr>
        <w:t xml:space="preserve"> 200 patients, including 76 with thrombotic accidents and 124 with two or more idiopathic recurrent miscarriage during the first trimester, were tested for the presence of Factor V (F V) Leiden G1691A, Factor II (F II) G20210A, plasminogen activator inhibitor (PAI) 4G/5G, and methylenetetrahydrofolate reductase (MTHFR) C677T polymorphisms using Real time polymerase chain reaction (RT – PCR) in the Laboratory of Medical Genetics, Varna, Bulgaria between June 2016 and May 2019. Frequencies of </w:t>
      </w:r>
      <w:proofErr w:type="spellStart"/>
      <w:r w:rsidR="00B92E58" w:rsidRPr="00F20C1F">
        <w:rPr>
          <w:rFonts w:ascii="Times New Roman" w:hAnsi="Times New Roman" w:cs="Times New Roman"/>
          <w:sz w:val="24"/>
          <w:szCs w:val="24"/>
        </w:rPr>
        <w:t>thrombophilic</w:t>
      </w:r>
      <w:proofErr w:type="spellEnd"/>
      <w:r w:rsidR="00B92E58" w:rsidRPr="00F20C1F">
        <w:rPr>
          <w:rFonts w:ascii="Times New Roman" w:hAnsi="Times New Roman" w:cs="Times New Roman"/>
          <w:sz w:val="24"/>
          <w:szCs w:val="24"/>
        </w:rPr>
        <w:t xml:space="preserve"> gene polymorphisms were compared among the two populations and to the expected genotype frequencies. Results</w:t>
      </w:r>
      <w:r w:rsidR="001003F7">
        <w:rPr>
          <w:rFonts w:ascii="Times New Roman" w:hAnsi="Times New Roman" w:cs="Times New Roman"/>
          <w:sz w:val="24"/>
          <w:szCs w:val="24"/>
          <w:lang w:val="bg-BG"/>
        </w:rPr>
        <w:t>:</w:t>
      </w:r>
      <w:r w:rsidR="00B92E58" w:rsidRPr="00F20C1F">
        <w:rPr>
          <w:rFonts w:ascii="Times New Roman" w:hAnsi="Times New Roman" w:cs="Times New Roman"/>
          <w:sz w:val="24"/>
          <w:szCs w:val="24"/>
        </w:rPr>
        <w:t xml:space="preserve"> Individuals with a history of vascular disorders had a significantly higher frequency of F V Leiden variant compared to women with recurrent miscarriage. There was no statistical difference between the analyzed patients for the other three </w:t>
      </w:r>
      <w:proofErr w:type="spellStart"/>
      <w:r w:rsidR="00B92E58" w:rsidRPr="00F20C1F">
        <w:rPr>
          <w:rFonts w:ascii="Times New Roman" w:hAnsi="Times New Roman" w:cs="Times New Roman"/>
          <w:sz w:val="24"/>
          <w:szCs w:val="24"/>
        </w:rPr>
        <w:t>thrombophilic</w:t>
      </w:r>
      <w:proofErr w:type="spellEnd"/>
      <w:r w:rsidR="00B92E58" w:rsidRPr="00F20C1F">
        <w:rPr>
          <w:rFonts w:ascii="Times New Roman" w:hAnsi="Times New Roman" w:cs="Times New Roman"/>
          <w:sz w:val="24"/>
          <w:szCs w:val="24"/>
        </w:rPr>
        <w:t xml:space="preserve"> polymorphisms. The allelic frequencies and the expected genotype frequencies of the F V, F II and MTHFR polymorphisms were calculated according to Hardy-Weinberg equilibrium. The percentages of the homozygotes for F V and F II were higher than expected in the two groups of patients. For the MTHFR there was no difference. Conclusion</w:t>
      </w:r>
      <w:r w:rsidR="001003F7">
        <w:rPr>
          <w:rFonts w:ascii="Times New Roman" w:hAnsi="Times New Roman" w:cs="Times New Roman"/>
          <w:sz w:val="24"/>
          <w:szCs w:val="24"/>
          <w:lang w:val="bg-BG"/>
        </w:rPr>
        <w:t>:</w:t>
      </w:r>
      <w:r w:rsidR="00B92E58" w:rsidRPr="00F20C1F">
        <w:rPr>
          <w:rFonts w:ascii="Times New Roman" w:hAnsi="Times New Roman" w:cs="Times New Roman"/>
          <w:sz w:val="24"/>
          <w:szCs w:val="24"/>
        </w:rPr>
        <w:t xml:space="preserve"> F V Leiden remains the strongest risk factor for vascular disorders and recurrent pregnancy loss. Screening for this variant should be recommended to patients with thrombotic accidents and women with repeated miscarriage. The role of F II, PAI and MTHFR remains controversial.  </w:t>
      </w:r>
    </w:p>
    <w:p w14:paraId="78DE8780" w14:textId="77777777" w:rsidR="00420191" w:rsidRPr="00F20C1F" w:rsidRDefault="00420191" w:rsidP="00420191">
      <w:pPr>
        <w:pStyle w:val="ListParagraph"/>
        <w:ind w:left="993"/>
        <w:jc w:val="both"/>
        <w:rPr>
          <w:rFonts w:ascii="Times New Roman" w:hAnsi="Times New Roman" w:cs="Times New Roman"/>
          <w:sz w:val="24"/>
          <w:szCs w:val="24"/>
          <w:lang w:val="bg-BG"/>
        </w:rPr>
      </w:pPr>
    </w:p>
    <w:p w14:paraId="36B882E4" w14:textId="601121FD" w:rsidR="00161774" w:rsidRPr="00A42C03" w:rsidRDefault="00B92E58" w:rsidP="00F86383">
      <w:pPr>
        <w:pStyle w:val="ListParagraph"/>
        <w:numPr>
          <w:ilvl w:val="0"/>
          <w:numId w:val="4"/>
        </w:numPr>
        <w:jc w:val="both"/>
        <w:rPr>
          <w:rFonts w:ascii="Times New Roman" w:hAnsi="Times New Roman" w:cs="Times New Roman"/>
          <w:sz w:val="24"/>
          <w:szCs w:val="24"/>
          <w:lang w:val="bg-BG"/>
        </w:rPr>
      </w:pPr>
      <w:r w:rsidRPr="00A42C03">
        <w:rPr>
          <w:rFonts w:ascii="Times New Roman" w:hAnsi="Times New Roman" w:cs="Times New Roman"/>
          <w:sz w:val="24"/>
          <w:szCs w:val="24"/>
          <w:lang w:val="bg-BG"/>
        </w:rPr>
        <w:t xml:space="preserve">Митева В, М.Хачмериян,М.Стоянова, </w:t>
      </w:r>
      <w:r w:rsidRPr="00A42C03">
        <w:rPr>
          <w:rFonts w:ascii="Times New Roman" w:hAnsi="Times New Roman" w:cs="Times New Roman"/>
          <w:b/>
          <w:bCs/>
          <w:sz w:val="24"/>
          <w:szCs w:val="24"/>
          <w:lang w:val="bg-BG"/>
        </w:rPr>
        <w:t>М.Левкова</w:t>
      </w:r>
      <w:r w:rsidRPr="00A42C03">
        <w:rPr>
          <w:rFonts w:ascii="Times New Roman" w:hAnsi="Times New Roman" w:cs="Times New Roman"/>
          <w:sz w:val="24"/>
          <w:szCs w:val="24"/>
          <w:lang w:val="bg-BG"/>
        </w:rPr>
        <w:t xml:space="preserve">, S.Banka, М.Цветкова, Д.Константнова, Л. Ангелова. </w:t>
      </w:r>
      <w:r w:rsidRPr="00A42C03">
        <w:rPr>
          <w:rFonts w:ascii="Times New Roman" w:hAnsi="Times New Roman" w:cs="Times New Roman"/>
          <w:i/>
          <w:iCs/>
          <w:sz w:val="24"/>
          <w:szCs w:val="24"/>
          <w:lang w:val="bg-BG"/>
        </w:rPr>
        <w:t>Диагностични и диференциално-диагностични предизвикателства при поставяне на рядка генетична диагноза синдром на Кабуки – представяне на случай</w:t>
      </w:r>
      <w:r w:rsidRPr="00A42C03">
        <w:rPr>
          <w:rFonts w:ascii="Times New Roman" w:hAnsi="Times New Roman" w:cs="Times New Roman"/>
          <w:sz w:val="24"/>
          <w:szCs w:val="24"/>
          <w:lang w:val="bg-BG"/>
        </w:rPr>
        <w:t>. сп. Педиатрия, бр.1, ISSN, 2019, 51-54. Q4</w:t>
      </w:r>
    </w:p>
    <w:p w14:paraId="231D5CB7" w14:textId="4087A492" w:rsidR="00420191" w:rsidRPr="00F20C1F" w:rsidRDefault="00F86383" w:rsidP="00D85FB2">
      <w:pPr>
        <w:pStyle w:val="ListParagraph"/>
        <w:numPr>
          <w:ilvl w:val="1"/>
          <w:numId w:val="8"/>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0" w:name="_Hlk144324768"/>
      <w:r w:rsidR="005C3955">
        <w:rPr>
          <w:rFonts w:ascii="Times New Roman" w:hAnsi="Times New Roman" w:cs="Times New Roman"/>
          <w:sz w:val="24"/>
          <w:szCs w:val="24"/>
          <w:lang w:val="bg-BG"/>
        </w:rPr>
        <w:t>Въведение</w:t>
      </w:r>
      <w:r w:rsidR="00420191" w:rsidRPr="00F20C1F">
        <w:rPr>
          <w:rFonts w:ascii="Times New Roman" w:hAnsi="Times New Roman" w:cs="Times New Roman"/>
          <w:sz w:val="24"/>
          <w:szCs w:val="24"/>
          <w:lang w:val="bg-BG"/>
        </w:rPr>
        <w:t xml:space="preserve">: Редките заболявания (85 % с генетичен произход) се характеризират с клинична и генетична хетерогенност, поради което диагнозата често се поставя със закъснение (средно 7 години) или е невъзможно да бъде установена. Материали и методи: Представяме случай на пациент с множество аномалии в развитието и дисморфизъм, който по-късно е диагностициран със синдрома на Кабуки. Прегледът на литературата разкрива исторически данни и допълнителна информация за същността на </w:t>
      </w:r>
      <w:r w:rsidR="005C3955">
        <w:rPr>
          <w:rFonts w:ascii="Times New Roman" w:hAnsi="Times New Roman" w:cs="Times New Roman"/>
          <w:sz w:val="24"/>
          <w:szCs w:val="24"/>
          <w:lang w:val="bg-BG"/>
        </w:rPr>
        <w:t>заболяване</w:t>
      </w:r>
      <w:r w:rsidR="00420191" w:rsidRPr="00F20C1F">
        <w:rPr>
          <w:rFonts w:ascii="Times New Roman" w:hAnsi="Times New Roman" w:cs="Times New Roman"/>
          <w:sz w:val="24"/>
          <w:szCs w:val="24"/>
          <w:lang w:val="bg-BG"/>
        </w:rPr>
        <w:t xml:space="preserve">то. Представени са различни налични диагностични схеми, включително наскоро публикувани международни консенсусни критерии. Резултати: В процеса на диференциална </w:t>
      </w:r>
      <w:r w:rsidR="00420191" w:rsidRPr="00F20C1F">
        <w:rPr>
          <w:rFonts w:ascii="Times New Roman" w:hAnsi="Times New Roman" w:cs="Times New Roman"/>
          <w:sz w:val="24"/>
          <w:szCs w:val="24"/>
          <w:lang w:val="bg-BG"/>
        </w:rPr>
        <w:lastRenderedPageBreak/>
        <w:t xml:space="preserve">диагноза на представения случай бяха разгледани шест различни синдрома въз основа на </w:t>
      </w:r>
      <w:r w:rsidR="005C3955">
        <w:rPr>
          <w:rFonts w:ascii="Times New Roman" w:hAnsi="Times New Roman" w:cs="Times New Roman"/>
          <w:sz w:val="24"/>
          <w:szCs w:val="24"/>
          <w:lang w:val="bg-BG"/>
        </w:rPr>
        <w:t xml:space="preserve">съвкупността </w:t>
      </w:r>
      <w:r w:rsidR="00420191" w:rsidRPr="00F20C1F">
        <w:rPr>
          <w:rFonts w:ascii="Times New Roman" w:hAnsi="Times New Roman" w:cs="Times New Roman"/>
          <w:sz w:val="24"/>
          <w:szCs w:val="24"/>
          <w:lang w:val="bg-BG"/>
        </w:rPr>
        <w:t xml:space="preserve">от налични клинични признаци. </w:t>
      </w:r>
      <w:r w:rsidR="009D3700" w:rsidRPr="00F20C1F">
        <w:rPr>
          <w:rFonts w:ascii="Times New Roman" w:hAnsi="Times New Roman" w:cs="Times New Roman"/>
          <w:sz w:val="24"/>
          <w:szCs w:val="24"/>
          <w:lang w:val="bg-BG"/>
        </w:rPr>
        <w:t>Целенасоченият ДНК анализ за мутации в гена KMT2D, свързани с предполагаемото заболяване, потвърждава синдрома на Кабуки</w:t>
      </w:r>
      <w:r w:rsidR="005C3955">
        <w:rPr>
          <w:rFonts w:ascii="Times New Roman" w:hAnsi="Times New Roman" w:cs="Times New Roman"/>
          <w:sz w:val="24"/>
          <w:szCs w:val="24"/>
          <w:lang w:val="bg-BG"/>
        </w:rPr>
        <w:t>, когато</w:t>
      </w:r>
      <w:r w:rsidR="009D3700" w:rsidRPr="00F20C1F">
        <w:rPr>
          <w:rFonts w:ascii="Times New Roman" w:hAnsi="Times New Roman" w:cs="Times New Roman"/>
          <w:sz w:val="24"/>
          <w:szCs w:val="24"/>
          <w:lang w:val="bg-BG"/>
        </w:rPr>
        <w:t xml:space="preserve"> пациентката</w:t>
      </w:r>
      <w:r w:rsidR="005C3955">
        <w:rPr>
          <w:rFonts w:ascii="Times New Roman" w:hAnsi="Times New Roman" w:cs="Times New Roman"/>
          <w:sz w:val="24"/>
          <w:szCs w:val="24"/>
          <w:lang w:val="bg-BG"/>
        </w:rPr>
        <w:t xml:space="preserve"> е била вече</w:t>
      </w:r>
      <w:r w:rsidR="009D3700" w:rsidRPr="00F20C1F">
        <w:rPr>
          <w:rFonts w:ascii="Times New Roman" w:hAnsi="Times New Roman" w:cs="Times New Roman"/>
          <w:sz w:val="24"/>
          <w:szCs w:val="24"/>
          <w:lang w:val="bg-BG"/>
        </w:rPr>
        <w:t xml:space="preserve"> на 13-годишна възраст, въпреки че първите симптоми са били </w:t>
      </w:r>
      <w:r w:rsidR="005C3955">
        <w:rPr>
          <w:rFonts w:ascii="Times New Roman" w:hAnsi="Times New Roman" w:cs="Times New Roman"/>
          <w:sz w:val="24"/>
          <w:szCs w:val="24"/>
          <w:lang w:val="bg-BG"/>
        </w:rPr>
        <w:t>налични</w:t>
      </w:r>
      <w:r w:rsidR="009D3700" w:rsidRPr="00F20C1F">
        <w:rPr>
          <w:rFonts w:ascii="Times New Roman" w:hAnsi="Times New Roman" w:cs="Times New Roman"/>
          <w:sz w:val="24"/>
          <w:szCs w:val="24"/>
          <w:lang w:val="bg-BG"/>
        </w:rPr>
        <w:t xml:space="preserve"> в неонаталния период. Заключени</w:t>
      </w:r>
      <w:r w:rsidR="005C3955">
        <w:rPr>
          <w:rFonts w:ascii="Times New Roman" w:hAnsi="Times New Roman" w:cs="Times New Roman"/>
          <w:sz w:val="24"/>
          <w:szCs w:val="24"/>
          <w:lang w:val="bg-BG"/>
        </w:rPr>
        <w:t>е</w:t>
      </w:r>
      <w:r w:rsidR="009D3700" w:rsidRPr="00F20C1F">
        <w:rPr>
          <w:rFonts w:ascii="Times New Roman" w:hAnsi="Times New Roman" w:cs="Times New Roman"/>
          <w:sz w:val="24"/>
          <w:szCs w:val="24"/>
          <w:lang w:val="bg-BG"/>
        </w:rPr>
        <w:t>: Диагностицирането на пациент с рядко заболяване често е трудна задача. Трудностите произтичат от недостига на клиницисти (дисморфолози) с дълбоки познания в областта на редките синдроми, както и от финансовите и организационните проблеми на генетичните анализи. Често диагнозата при такива пациенти се поставя със закъснение или остава клинично неразпозната и/или непотвърдена на молекулярно-генетично ниво.</w:t>
      </w:r>
      <w:bookmarkEnd w:id="0"/>
    </w:p>
    <w:p w14:paraId="4EF5039C" w14:textId="77777777" w:rsidR="009D3700" w:rsidRPr="00F20C1F" w:rsidRDefault="009D3700" w:rsidP="009D3700">
      <w:pPr>
        <w:pStyle w:val="ListParagraph"/>
        <w:ind w:left="993"/>
        <w:jc w:val="both"/>
        <w:rPr>
          <w:rFonts w:ascii="Times New Roman" w:hAnsi="Times New Roman" w:cs="Times New Roman"/>
          <w:sz w:val="24"/>
          <w:szCs w:val="24"/>
          <w:lang w:val="bg-BG"/>
        </w:rPr>
      </w:pPr>
    </w:p>
    <w:p w14:paraId="40C91799" w14:textId="51B354CB" w:rsidR="0017064E" w:rsidRPr="00F20C1F" w:rsidRDefault="00F86383" w:rsidP="00420191">
      <w:pPr>
        <w:pStyle w:val="ListParagraph"/>
        <w:numPr>
          <w:ilvl w:val="1"/>
          <w:numId w:val="8"/>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326B8C" w:rsidRPr="00F20C1F">
        <w:rPr>
          <w:rFonts w:ascii="Times New Roman" w:hAnsi="Times New Roman" w:cs="Times New Roman"/>
          <w:sz w:val="24"/>
          <w:szCs w:val="24"/>
          <w:lang w:val="bg-BG"/>
        </w:rPr>
        <w:t>Background</w:t>
      </w:r>
      <w:r w:rsidR="00326B8C" w:rsidRPr="00F20C1F">
        <w:rPr>
          <w:rFonts w:ascii="Times New Roman" w:hAnsi="Times New Roman" w:cs="Times New Roman"/>
          <w:sz w:val="24"/>
          <w:szCs w:val="24"/>
        </w:rPr>
        <w:t xml:space="preserve">: </w:t>
      </w:r>
      <w:r w:rsidR="00326B8C" w:rsidRPr="00F20C1F">
        <w:rPr>
          <w:rFonts w:ascii="Times New Roman" w:hAnsi="Times New Roman" w:cs="Times New Roman"/>
          <w:sz w:val="24"/>
          <w:szCs w:val="24"/>
          <w:lang w:val="bg-BG"/>
        </w:rPr>
        <w:t>Rare diseases (85% of genetic origin) are characterized by clinical and genetic heterogeneity, so that the diagnosis is often delayed (on average 7 years) or impossible to identify. Materials and methods</w:t>
      </w:r>
      <w:r w:rsidR="00326B8C" w:rsidRPr="00F20C1F">
        <w:rPr>
          <w:rFonts w:ascii="Times New Roman" w:hAnsi="Times New Roman" w:cs="Times New Roman"/>
          <w:sz w:val="24"/>
          <w:szCs w:val="24"/>
        </w:rPr>
        <w:t>:</w:t>
      </w:r>
      <w:r w:rsidR="00326B8C" w:rsidRPr="00F20C1F">
        <w:rPr>
          <w:rFonts w:ascii="Times New Roman" w:hAnsi="Times New Roman" w:cs="Times New Roman"/>
          <w:sz w:val="24"/>
          <w:szCs w:val="24"/>
          <w:lang w:val="bg-BG"/>
        </w:rPr>
        <w:t xml:space="preserve"> We present a case of a patient with multiple developmental abnormalities and dysmorphism, who was later diagnosed with Kabuki syndrome. The review of the literature reveals historical data and additional information for the essence of the disorder. Various diagnostic schemes available, including recently published international consensus criteria, are presented. Results</w:t>
      </w:r>
      <w:r w:rsidR="00326B8C" w:rsidRPr="00F20C1F">
        <w:rPr>
          <w:rFonts w:ascii="Times New Roman" w:hAnsi="Times New Roman" w:cs="Times New Roman"/>
          <w:sz w:val="24"/>
          <w:szCs w:val="24"/>
        </w:rPr>
        <w:t>:</w:t>
      </w:r>
      <w:r w:rsidR="00326B8C" w:rsidRPr="00F20C1F">
        <w:rPr>
          <w:rFonts w:ascii="Times New Roman" w:hAnsi="Times New Roman" w:cs="Times New Roman"/>
          <w:sz w:val="24"/>
          <w:szCs w:val="24"/>
          <w:lang w:val="bg-BG"/>
        </w:rPr>
        <w:t xml:space="preserve"> In the differential diagnosis process of the presented case, six different syndromes were considered, based on the constellation of available clinical signs. A targeted DNA analysis for mutations in KMT2D gene associated with the suspected disease confirmed Kabuki's syndrome in the patient at the age of 13, although the first symptoms were presented in the neonatal period. Conclusions</w:t>
      </w:r>
      <w:r w:rsidR="00326B8C" w:rsidRPr="00F20C1F">
        <w:rPr>
          <w:rFonts w:ascii="Times New Roman" w:hAnsi="Times New Roman" w:cs="Times New Roman"/>
          <w:sz w:val="24"/>
          <w:szCs w:val="24"/>
        </w:rPr>
        <w:t>:</w:t>
      </w:r>
      <w:r w:rsidR="00326B8C" w:rsidRPr="00F20C1F">
        <w:rPr>
          <w:rFonts w:ascii="Times New Roman" w:hAnsi="Times New Roman" w:cs="Times New Roman"/>
          <w:sz w:val="24"/>
          <w:szCs w:val="24"/>
          <w:lang w:val="bg-BG"/>
        </w:rPr>
        <w:t xml:space="preserve"> Diagnosing a patient with a rare disease is often a difficult task. Difficulties arise from a shortage of clinicians (dysmorphologists) with deep knowledge in rare syndromes, and financial and organizational issues of genetic analyses. Often the diagnosis in such patients is delayed or remains clinically unrecognized and / or unconfirmed at molecular genetic level. </w:t>
      </w:r>
    </w:p>
    <w:p w14:paraId="52DECA94" w14:textId="77777777" w:rsidR="00420191" w:rsidRPr="00F20C1F" w:rsidRDefault="00420191" w:rsidP="00420191">
      <w:pPr>
        <w:pStyle w:val="ListParagraph"/>
        <w:ind w:left="993"/>
        <w:jc w:val="both"/>
        <w:rPr>
          <w:rFonts w:ascii="Times New Roman" w:hAnsi="Times New Roman" w:cs="Times New Roman"/>
          <w:sz w:val="24"/>
          <w:szCs w:val="24"/>
          <w:lang w:val="bg-BG"/>
        </w:rPr>
      </w:pPr>
    </w:p>
    <w:p w14:paraId="52FA1C80" w14:textId="235A81CC" w:rsidR="00161774" w:rsidRPr="00526C04" w:rsidRDefault="00326B8C" w:rsidP="00F86383">
      <w:pPr>
        <w:pStyle w:val="ListParagraph"/>
        <w:numPr>
          <w:ilvl w:val="0"/>
          <w:numId w:val="4"/>
        </w:numPr>
        <w:jc w:val="both"/>
        <w:rPr>
          <w:rFonts w:ascii="Times New Roman" w:hAnsi="Times New Roman" w:cs="Times New Roman"/>
          <w:sz w:val="24"/>
          <w:szCs w:val="24"/>
          <w:lang w:val="bg-BG"/>
        </w:rPr>
      </w:pPr>
      <w:r w:rsidRPr="00526C04">
        <w:rPr>
          <w:rFonts w:ascii="Times New Roman" w:hAnsi="Times New Roman" w:cs="Times New Roman"/>
          <w:sz w:val="24"/>
          <w:szCs w:val="24"/>
          <w:lang w:val="bg-BG"/>
        </w:rPr>
        <w:t xml:space="preserve">Хачмериян М., </w:t>
      </w:r>
      <w:r w:rsidRPr="00526C04">
        <w:rPr>
          <w:rFonts w:ascii="Times New Roman" w:hAnsi="Times New Roman" w:cs="Times New Roman"/>
          <w:b/>
          <w:bCs/>
          <w:sz w:val="24"/>
          <w:szCs w:val="24"/>
          <w:lang w:val="bg-BG"/>
        </w:rPr>
        <w:t>М.Левкова</w:t>
      </w:r>
      <w:r w:rsidRPr="00526C04">
        <w:rPr>
          <w:rFonts w:ascii="Times New Roman" w:hAnsi="Times New Roman" w:cs="Times New Roman"/>
          <w:sz w:val="24"/>
          <w:szCs w:val="24"/>
          <w:lang w:val="bg-BG"/>
        </w:rPr>
        <w:t xml:space="preserve">, М.Стоянова, В.Митева, Л.Ангелова. </w:t>
      </w:r>
      <w:r w:rsidRPr="00526C04">
        <w:rPr>
          <w:rFonts w:ascii="Times New Roman" w:hAnsi="Times New Roman" w:cs="Times New Roman"/>
          <w:i/>
          <w:iCs/>
          <w:sz w:val="24"/>
          <w:szCs w:val="24"/>
          <w:lang w:val="bg-BG"/>
        </w:rPr>
        <w:t>Предизвикателства на медико-генетичната консултация в ерата на геномната медицина</w:t>
      </w:r>
      <w:r w:rsidRPr="00526C04">
        <w:rPr>
          <w:rFonts w:ascii="Times New Roman" w:hAnsi="Times New Roman" w:cs="Times New Roman"/>
          <w:sz w:val="24"/>
          <w:szCs w:val="24"/>
          <w:lang w:val="bg-BG"/>
        </w:rPr>
        <w:t>. Обща медицина. XXI, бр.6, 2019, 37-40. Q4</w:t>
      </w:r>
    </w:p>
    <w:p w14:paraId="7CB979BD" w14:textId="56D33BF5" w:rsidR="006F799C" w:rsidRPr="00F20C1F" w:rsidRDefault="00F86383" w:rsidP="00420191">
      <w:pPr>
        <w:pStyle w:val="ListParagraph"/>
        <w:numPr>
          <w:ilvl w:val="1"/>
          <w:numId w:val="25"/>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1" w:name="_Hlk144324799"/>
      <w:proofErr w:type="spellStart"/>
      <w:r w:rsidR="00326B8C" w:rsidRPr="00F20C1F">
        <w:rPr>
          <w:rFonts w:ascii="Times New Roman" w:hAnsi="Times New Roman" w:cs="Times New Roman"/>
          <w:sz w:val="24"/>
          <w:szCs w:val="24"/>
        </w:rPr>
        <w:t>Благодарение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развитието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биотехнологиите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през</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последните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няколко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десетилетия</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клинико-генетичните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услуги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напредват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значително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Възможностите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анализ</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разширяват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молекулярната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етиология</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редица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редки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заболявания</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разкрива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Поради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особеностите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генетичните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резултати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възможностите</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ограниченията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използваните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технологични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методи</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спецификата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коментираната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патология</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широко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дискутира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необходимостта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от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предоставяне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пре</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постаналична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генетична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консултация</w:t>
      </w:r>
      <w:proofErr w:type="spellEnd"/>
      <w:r w:rsidR="00326B8C" w:rsidRPr="00F20C1F">
        <w:rPr>
          <w:rFonts w:ascii="Times New Roman" w:hAnsi="Times New Roman" w:cs="Times New Roman"/>
          <w:sz w:val="24"/>
          <w:szCs w:val="24"/>
        </w:rPr>
        <w:t xml:space="preserve">, с </w:t>
      </w:r>
      <w:proofErr w:type="spellStart"/>
      <w:r w:rsidR="00326B8C" w:rsidRPr="00F20C1F">
        <w:rPr>
          <w:rFonts w:ascii="Times New Roman" w:hAnsi="Times New Roman" w:cs="Times New Roman"/>
          <w:sz w:val="24"/>
          <w:szCs w:val="24"/>
        </w:rPr>
        <w:t>цел</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да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подпомогнат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разбирането</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адаптацията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към</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медицинските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психологичните</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фамилните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последици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от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наличното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заболяване</w:t>
      </w:r>
      <w:proofErr w:type="spellEnd"/>
      <w:r w:rsidR="00326B8C" w:rsidRPr="00F20C1F">
        <w:rPr>
          <w:rFonts w:ascii="Times New Roman" w:hAnsi="Times New Roman" w:cs="Times New Roman"/>
          <w:sz w:val="24"/>
          <w:szCs w:val="24"/>
        </w:rPr>
        <w:t xml:space="preserve">. С </w:t>
      </w:r>
      <w:proofErr w:type="spellStart"/>
      <w:r w:rsidR="00326B8C" w:rsidRPr="00F20C1F">
        <w:rPr>
          <w:rFonts w:ascii="Times New Roman" w:hAnsi="Times New Roman" w:cs="Times New Roman"/>
          <w:sz w:val="24"/>
          <w:szCs w:val="24"/>
        </w:rPr>
        <w:t>популяризирането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този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тип</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анализи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увеличава</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предлагането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като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често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заобикаля</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традиционната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здравна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система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Общопрактикуващите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лекари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както</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всички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други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медицински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lastRenderedPageBreak/>
        <w:t>кадри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съвсем</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скоро</w:t>
      </w:r>
      <w:proofErr w:type="spellEnd"/>
      <w:r w:rsidR="00326B8C" w:rsidRPr="00F20C1F">
        <w:rPr>
          <w:rFonts w:ascii="Times New Roman" w:hAnsi="Times New Roman" w:cs="Times New Roman"/>
          <w:sz w:val="24"/>
          <w:szCs w:val="24"/>
        </w:rPr>
        <w:t xml:space="preserve"> и у </w:t>
      </w:r>
      <w:proofErr w:type="spellStart"/>
      <w:r w:rsidR="00326B8C" w:rsidRPr="00F20C1F">
        <w:rPr>
          <w:rFonts w:ascii="Times New Roman" w:hAnsi="Times New Roman" w:cs="Times New Roman"/>
          <w:sz w:val="24"/>
          <w:szCs w:val="24"/>
        </w:rPr>
        <w:t>нас</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ще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бъдат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изправени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пред</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проблема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как</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да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интерпретират</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използват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информацията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получена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от</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пряко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към</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потребителя</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генетично</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тестване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Целта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настоящата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статия</w:t>
      </w:r>
      <w:proofErr w:type="spellEnd"/>
      <w:r w:rsidR="00326B8C" w:rsidRPr="00F20C1F">
        <w:rPr>
          <w:rFonts w:ascii="Times New Roman" w:hAnsi="Times New Roman" w:cs="Times New Roman"/>
          <w:sz w:val="24"/>
          <w:szCs w:val="24"/>
        </w:rPr>
        <w:t xml:space="preserve"> е </w:t>
      </w:r>
      <w:proofErr w:type="spellStart"/>
      <w:r w:rsidR="00326B8C" w:rsidRPr="00F20C1F">
        <w:rPr>
          <w:rFonts w:ascii="Times New Roman" w:hAnsi="Times New Roman" w:cs="Times New Roman"/>
          <w:sz w:val="24"/>
          <w:szCs w:val="24"/>
        </w:rPr>
        <w:t>да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запознае</w:t>
      </w:r>
      <w:proofErr w:type="spellEnd"/>
      <w:r w:rsidR="00326B8C" w:rsidRPr="00F20C1F">
        <w:rPr>
          <w:rFonts w:ascii="Times New Roman" w:hAnsi="Times New Roman" w:cs="Times New Roman"/>
          <w:sz w:val="24"/>
          <w:szCs w:val="24"/>
        </w:rPr>
        <w:t xml:space="preserve"> и </w:t>
      </w:r>
      <w:proofErr w:type="spellStart"/>
      <w:r w:rsidR="00326B8C" w:rsidRPr="00F20C1F">
        <w:rPr>
          <w:rFonts w:ascii="Times New Roman" w:hAnsi="Times New Roman" w:cs="Times New Roman"/>
          <w:sz w:val="24"/>
          <w:szCs w:val="24"/>
        </w:rPr>
        <w:t>подготви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за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очакваните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предизвикателства</w:t>
      </w:r>
      <w:proofErr w:type="spellEnd"/>
      <w:r w:rsidR="00326B8C" w:rsidRPr="00F20C1F">
        <w:rPr>
          <w:rFonts w:ascii="Times New Roman" w:hAnsi="Times New Roman" w:cs="Times New Roman"/>
          <w:sz w:val="24"/>
          <w:szCs w:val="24"/>
        </w:rPr>
        <w:t xml:space="preserve"> в </w:t>
      </w:r>
      <w:proofErr w:type="spellStart"/>
      <w:r w:rsidR="00326B8C" w:rsidRPr="00F20C1F">
        <w:rPr>
          <w:rFonts w:ascii="Times New Roman" w:hAnsi="Times New Roman" w:cs="Times New Roman"/>
          <w:sz w:val="24"/>
          <w:szCs w:val="24"/>
        </w:rPr>
        <w:t>условията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все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по-зачестяващите</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генетични</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анализи</w:t>
      </w:r>
      <w:proofErr w:type="spellEnd"/>
      <w:r w:rsidR="00326B8C" w:rsidRPr="00F20C1F">
        <w:rPr>
          <w:rFonts w:ascii="Times New Roman" w:hAnsi="Times New Roman" w:cs="Times New Roman"/>
          <w:sz w:val="24"/>
          <w:szCs w:val="24"/>
        </w:rPr>
        <w:t xml:space="preserve"> в </w:t>
      </w:r>
      <w:proofErr w:type="spellStart"/>
      <w:r w:rsidR="00326B8C" w:rsidRPr="00F20C1F">
        <w:rPr>
          <w:rFonts w:ascii="Times New Roman" w:hAnsi="Times New Roman" w:cs="Times New Roman"/>
          <w:sz w:val="24"/>
          <w:szCs w:val="24"/>
        </w:rPr>
        <w:t>ерата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на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геномната</w:t>
      </w:r>
      <w:proofErr w:type="spellEnd"/>
      <w:r w:rsidR="00326B8C" w:rsidRPr="00F20C1F">
        <w:rPr>
          <w:rFonts w:ascii="Times New Roman" w:hAnsi="Times New Roman" w:cs="Times New Roman"/>
          <w:sz w:val="24"/>
          <w:szCs w:val="24"/>
        </w:rPr>
        <w:t xml:space="preserve"> </w:t>
      </w:r>
      <w:proofErr w:type="spellStart"/>
      <w:r w:rsidR="00326B8C" w:rsidRPr="00F20C1F">
        <w:rPr>
          <w:rFonts w:ascii="Times New Roman" w:hAnsi="Times New Roman" w:cs="Times New Roman"/>
          <w:sz w:val="24"/>
          <w:szCs w:val="24"/>
        </w:rPr>
        <w:t>медицина</w:t>
      </w:r>
      <w:proofErr w:type="spellEnd"/>
      <w:r w:rsidR="00326B8C" w:rsidRPr="00F20C1F">
        <w:rPr>
          <w:rFonts w:ascii="Times New Roman" w:hAnsi="Times New Roman" w:cs="Times New Roman"/>
          <w:sz w:val="24"/>
          <w:szCs w:val="24"/>
        </w:rPr>
        <w:t>.</w:t>
      </w:r>
    </w:p>
    <w:p w14:paraId="2C8FEB33" w14:textId="77777777" w:rsidR="00326B8C" w:rsidRPr="00F20C1F" w:rsidRDefault="00326B8C" w:rsidP="00420191">
      <w:pPr>
        <w:pStyle w:val="ListParagraph"/>
        <w:ind w:left="993" w:hanging="142"/>
        <w:jc w:val="both"/>
        <w:rPr>
          <w:rFonts w:ascii="Times New Roman" w:hAnsi="Times New Roman" w:cs="Times New Roman"/>
          <w:sz w:val="24"/>
          <w:szCs w:val="24"/>
          <w:lang w:val="bg-BG"/>
        </w:rPr>
      </w:pPr>
    </w:p>
    <w:bookmarkEnd w:id="1"/>
    <w:p w14:paraId="4785E431" w14:textId="0D6AE540" w:rsidR="00F86383" w:rsidRPr="002667C1" w:rsidRDefault="00F86383" w:rsidP="00420191">
      <w:pPr>
        <w:pStyle w:val="ListParagraph"/>
        <w:numPr>
          <w:ilvl w:val="1"/>
          <w:numId w:val="25"/>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006A672F" w:rsidRPr="00F20C1F">
        <w:rPr>
          <w:sz w:val="24"/>
          <w:szCs w:val="24"/>
        </w:rPr>
        <w:t xml:space="preserve"> </w:t>
      </w:r>
      <w:r w:rsidR="00326B8C" w:rsidRPr="00F20C1F">
        <w:rPr>
          <w:rFonts w:ascii="Times New Roman" w:hAnsi="Times New Roman" w:cs="Times New Roman"/>
          <w:sz w:val="24"/>
          <w:szCs w:val="24"/>
        </w:rPr>
        <w:t xml:space="preserve">As a result of the recent progress in biotechnology, clinical-genetic services have been improved. The possibilities of genetic analyses have expanded, the underlying molecular etiology of some rare diseases has been revealed. Due to </w:t>
      </w:r>
      <w:r w:rsidR="00526C04" w:rsidRPr="00F20C1F">
        <w:rPr>
          <w:rFonts w:ascii="Times New Roman" w:hAnsi="Times New Roman" w:cs="Times New Roman"/>
          <w:sz w:val="24"/>
          <w:szCs w:val="24"/>
        </w:rPr>
        <w:t>specifi</w:t>
      </w:r>
      <w:r w:rsidR="00526C04">
        <w:rPr>
          <w:rFonts w:ascii="Times New Roman" w:hAnsi="Times New Roman" w:cs="Times New Roman"/>
          <w:sz w:val="24"/>
          <w:szCs w:val="24"/>
        </w:rPr>
        <w:t>city</w:t>
      </w:r>
      <w:r w:rsidR="00326B8C" w:rsidRPr="00F20C1F">
        <w:rPr>
          <w:rFonts w:ascii="Times New Roman" w:hAnsi="Times New Roman" w:cs="Times New Roman"/>
          <w:sz w:val="24"/>
          <w:szCs w:val="24"/>
        </w:rPr>
        <w:t xml:space="preserve"> of genetic analyses, the possibilities and limitations of the applied technologies and the specific genetic pathology, the necessity of pre- and post-test genetic counseling is widely discussed. Its aim is to help the patients and their families to understand and adapt to the medical and psychological effects of the disease. With the increasing popularity of genetic testing, the variety of offers is increasing, often bypassing the traditional healthcare systems. General practitioners, as well as all the other medical stuff in our country, will soon face the problem how to interpret and use the information received from direct-to-consumer genetic testing in the clinical practice.</w:t>
      </w:r>
      <w:r w:rsidR="00526C04">
        <w:rPr>
          <w:rFonts w:ascii="Times New Roman" w:hAnsi="Times New Roman" w:cs="Times New Roman"/>
          <w:sz w:val="24"/>
          <w:szCs w:val="24"/>
        </w:rPr>
        <w:t xml:space="preserve"> </w:t>
      </w:r>
      <w:r w:rsidR="00326B8C" w:rsidRPr="00F20C1F">
        <w:rPr>
          <w:sz w:val="24"/>
          <w:szCs w:val="24"/>
        </w:rPr>
        <w:t xml:space="preserve"> </w:t>
      </w:r>
      <w:r w:rsidR="00526C04" w:rsidRPr="00526C04">
        <w:rPr>
          <w:rFonts w:ascii="Times New Roman" w:hAnsi="Times New Roman" w:cs="Times New Roman"/>
          <w:sz w:val="24"/>
          <w:szCs w:val="24"/>
        </w:rPr>
        <w:t>The purpose of this article is to introduce and prepare for the anticipated challenges in the face of increasing genetic analyses in the era of genomic medicine.</w:t>
      </w:r>
    </w:p>
    <w:p w14:paraId="53F4A7F3" w14:textId="77777777" w:rsidR="002667C1" w:rsidRPr="002667C1" w:rsidRDefault="002667C1" w:rsidP="002667C1">
      <w:pPr>
        <w:pStyle w:val="ListParagraph"/>
        <w:rPr>
          <w:rFonts w:ascii="Times New Roman" w:hAnsi="Times New Roman" w:cs="Times New Roman"/>
          <w:sz w:val="24"/>
          <w:szCs w:val="24"/>
          <w:lang w:val="bg-BG"/>
        </w:rPr>
      </w:pPr>
    </w:p>
    <w:p w14:paraId="4E600034" w14:textId="77777777" w:rsidR="002667C1" w:rsidRPr="00F20C1F" w:rsidRDefault="002667C1" w:rsidP="002667C1">
      <w:pPr>
        <w:pStyle w:val="ListParagraph"/>
        <w:ind w:left="993"/>
        <w:jc w:val="both"/>
        <w:rPr>
          <w:rFonts w:ascii="Times New Roman" w:hAnsi="Times New Roman" w:cs="Times New Roman"/>
          <w:sz w:val="24"/>
          <w:szCs w:val="24"/>
          <w:lang w:val="bg-BG"/>
        </w:rPr>
      </w:pPr>
    </w:p>
    <w:p w14:paraId="25E94656" w14:textId="5EFA4DFA" w:rsidR="00161774" w:rsidRPr="00C94ADE" w:rsidRDefault="00326B8C" w:rsidP="00F86383">
      <w:pPr>
        <w:pStyle w:val="ListParagraph"/>
        <w:numPr>
          <w:ilvl w:val="0"/>
          <w:numId w:val="4"/>
        </w:numPr>
        <w:jc w:val="both"/>
        <w:rPr>
          <w:rFonts w:ascii="Times New Roman" w:hAnsi="Times New Roman" w:cs="Times New Roman"/>
          <w:sz w:val="24"/>
          <w:szCs w:val="24"/>
          <w:lang w:val="bg-BG"/>
        </w:rPr>
      </w:pPr>
      <w:proofErr w:type="spellStart"/>
      <w:r w:rsidRPr="00C94ADE">
        <w:rPr>
          <w:rFonts w:ascii="Times New Roman" w:hAnsi="Times New Roman" w:cs="Times New Roman"/>
          <w:b/>
          <w:bCs/>
          <w:sz w:val="24"/>
          <w:szCs w:val="24"/>
        </w:rPr>
        <w:t>M.Levkova</w:t>
      </w:r>
      <w:proofErr w:type="spellEnd"/>
      <w:r w:rsidRPr="00C94ADE">
        <w:rPr>
          <w:rFonts w:ascii="Times New Roman" w:hAnsi="Times New Roman" w:cs="Times New Roman"/>
          <w:sz w:val="24"/>
          <w:szCs w:val="24"/>
        </w:rPr>
        <w:t xml:space="preserve">, </w:t>
      </w:r>
      <w:proofErr w:type="spellStart"/>
      <w:proofErr w:type="gramStart"/>
      <w:r w:rsidRPr="00C94ADE">
        <w:rPr>
          <w:rFonts w:ascii="Times New Roman" w:hAnsi="Times New Roman" w:cs="Times New Roman"/>
          <w:sz w:val="24"/>
          <w:szCs w:val="24"/>
        </w:rPr>
        <w:t>T.Chervenkov</w:t>
      </w:r>
      <w:proofErr w:type="spellEnd"/>
      <w:proofErr w:type="gramEnd"/>
      <w:r w:rsidRPr="00C94ADE">
        <w:rPr>
          <w:rFonts w:ascii="Times New Roman" w:hAnsi="Times New Roman" w:cs="Times New Roman"/>
          <w:sz w:val="24"/>
          <w:szCs w:val="24"/>
        </w:rPr>
        <w:t xml:space="preserve">, </w:t>
      </w:r>
      <w:proofErr w:type="spellStart"/>
      <w:r w:rsidRPr="00C94ADE">
        <w:rPr>
          <w:rFonts w:ascii="Times New Roman" w:hAnsi="Times New Roman" w:cs="Times New Roman"/>
          <w:sz w:val="24"/>
          <w:szCs w:val="24"/>
        </w:rPr>
        <w:t>L.Angelova</w:t>
      </w:r>
      <w:proofErr w:type="spellEnd"/>
      <w:r w:rsidRPr="00C94ADE">
        <w:rPr>
          <w:rFonts w:ascii="Times New Roman" w:hAnsi="Times New Roman" w:cs="Times New Roman"/>
          <w:sz w:val="24"/>
          <w:szCs w:val="24"/>
        </w:rPr>
        <w:t xml:space="preserve">. </w:t>
      </w:r>
      <w:r w:rsidRPr="00C94ADE">
        <w:rPr>
          <w:rFonts w:ascii="Times New Roman" w:hAnsi="Times New Roman" w:cs="Times New Roman"/>
          <w:i/>
          <w:iCs/>
          <w:sz w:val="24"/>
          <w:szCs w:val="24"/>
        </w:rPr>
        <w:t>The association of gr/gr deletion in the Y chromosome and impaired spermatogenesis in Bulgarian males: a pilot study</w:t>
      </w:r>
      <w:r w:rsidRPr="00C94ADE">
        <w:rPr>
          <w:rFonts w:ascii="Times New Roman" w:hAnsi="Times New Roman" w:cs="Times New Roman"/>
          <w:sz w:val="24"/>
          <w:szCs w:val="24"/>
        </w:rPr>
        <w:t>. Middle East Fertility Society Journal, 2020, 25(1), Article number:10, 1-15.  Q3</w:t>
      </w:r>
    </w:p>
    <w:p w14:paraId="36D49B68" w14:textId="37CE787C" w:rsidR="005A0B69" w:rsidRPr="00F20C1F" w:rsidRDefault="00F86383" w:rsidP="00420191">
      <w:pPr>
        <w:pStyle w:val="ListParagraph"/>
        <w:numPr>
          <w:ilvl w:val="1"/>
          <w:numId w:val="24"/>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0433C5" w:rsidRPr="000433C5">
        <w:rPr>
          <w:rFonts w:ascii="Times New Roman" w:hAnsi="Times New Roman" w:cs="Times New Roman"/>
          <w:sz w:val="24"/>
          <w:szCs w:val="24"/>
          <w:lang w:val="bg-BG"/>
        </w:rPr>
        <w:t>Въведение</w:t>
      </w:r>
      <w:r w:rsidR="00420191" w:rsidRPr="00F20C1F">
        <w:rPr>
          <w:rFonts w:ascii="Times New Roman" w:hAnsi="Times New Roman" w:cs="Times New Roman"/>
          <w:sz w:val="24"/>
          <w:szCs w:val="24"/>
          <w:lang w:val="bg-BG"/>
        </w:rPr>
        <w:t xml:space="preserve">: </w:t>
      </w:r>
      <w:bookmarkStart w:id="2" w:name="_Hlk144324836"/>
      <w:r w:rsidR="00420191" w:rsidRPr="00F20C1F">
        <w:rPr>
          <w:rFonts w:ascii="Times New Roman" w:hAnsi="Times New Roman" w:cs="Times New Roman"/>
          <w:sz w:val="24"/>
          <w:szCs w:val="24"/>
          <w:lang w:val="bg-BG"/>
        </w:rPr>
        <w:t>Микроделециите на Y хромозомата се свързват с намален брой сперматозоиди в еякулата и мъжк</w:t>
      </w:r>
      <w:r w:rsidR="004312A5">
        <w:rPr>
          <w:rFonts w:ascii="Times New Roman" w:hAnsi="Times New Roman" w:cs="Times New Roman"/>
          <w:sz w:val="24"/>
          <w:szCs w:val="24"/>
          <w:lang w:val="bg-BG"/>
        </w:rPr>
        <w:t>и инфертилитет</w:t>
      </w:r>
      <w:r w:rsidR="00420191" w:rsidRPr="00F20C1F">
        <w:rPr>
          <w:rFonts w:ascii="Times New Roman" w:hAnsi="Times New Roman" w:cs="Times New Roman"/>
          <w:sz w:val="24"/>
          <w:szCs w:val="24"/>
          <w:lang w:val="bg-BG"/>
        </w:rPr>
        <w:t xml:space="preserve">. </w:t>
      </w:r>
      <w:r w:rsidR="004312A5">
        <w:rPr>
          <w:rFonts w:ascii="Times New Roman" w:hAnsi="Times New Roman" w:cs="Times New Roman"/>
          <w:sz w:val="24"/>
          <w:szCs w:val="24"/>
          <w:lang w:val="bg-BG"/>
        </w:rPr>
        <w:t>Т</w:t>
      </w:r>
      <w:r w:rsidR="00420191" w:rsidRPr="00F20C1F">
        <w:rPr>
          <w:rFonts w:ascii="Times New Roman" w:hAnsi="Times New Roman" w:cs="Times New Roman"/>
          <w:sz w:val="24"/>
          <w:szCs w:val="24"/>
          <w:lang w:val="bg-BG"/>
        </w:rPr>
        <w:t xml:space="preserve">акава делеция е gr/gr, която води до намаляване на алелите в гена DAZ. За да се оцени ролята </w:t>
      </w:r>
      <w:r w:rsidR="004312A5">
        <w:rPr>
          <w:rFonts w:ascii="Times New Roman" w:hAnsi="Times New Roman" w:cs="Times New Roman"/>
          <w:sz w:val="24"/>
          <w:szCs w:val="24"/>
          <w:lang w:val="bg-BG"/>
        </w:rPr>
        <w:t>й</w:t>
      </w:r>
      <w:r w:rsidR="00420191" w:rsidRPr="00F20C1F">
        <w:rPr>
          <w:rFonts w:ascii="Times New Roman" w:hAnsi="Times New Roman" w:cs="Times New Roman"/>
          <w:sz w:val="24"/>
          <w:szCs w:val="24"/>
          <w:lang w:val="bg-BG"/>
        </w:rPr>
        <w:t>, 30 пациенти с брой сперматозоиди под 5 × 10</w:t>
      </w:r>
      <w:r w:rsidR="00420191" w:rsidRPr="004312A5">
        <w:rPr>
          <w:rFonts w:ascii="Times New Roman" w:hAnsi="Times New Roman" w:cs="Times New Roman"/>
          <w:sz w:val="24"/>
          <w:szCs w:val="24"/>
          <w:vertAlign w:val="superscript"/>
          <w:lang w:val="bg-BG"/>
        </w:rPr>
        <w:t>6</w:t>
      </w:r>
      <w:r w:rsidR="00420191" w:rsidRPr="00F20C1F">
        <w:rPr>
          <w:rFonts w:ascii="Times New Roman" w:hAnsi="Times New Roman" w:cs="Times New Roman"/>
          <w:sz w:val="24"/>
          <w:szCs w:val="24"/>
          <w:lang w:val="bg-BG"/>
        </w:rPr>
        <w:t>/ml и 30 нормални фертилни мъже бяха генотипирани за микроделеции в AZF</w:t>
      </w:r>
      <w:r w:rsidR="004312A5">
        <w:rPr>
          <w:rFonts w:ascii="Times New Roman" w:hAnsi="Times New Roman" w:cs="Times New Roman"/>
          <w:sz w:val="24"/>
          <w:szCs w:val="24"/>
          <w:lang w:val="bg-BG"/>
        </w:rPr>
        <w:t xml:space="preserve"> региона</w:t>
      </w:r>
      <w:r w:rsidR="00420191" w:rsidRPr="00F20C1F">
        <w:rPr>
          <w:rFonts w:ascii="Times New Roman" w:hAnsi="Times New Roman" w:cs="Times New Roman"/>
          <w:sz w:val="24"/>
          <w:szCs w:val="24"/>
          <w:lang w:val="bg-BG"/>
        </w:rPr>
        <w:t xml:space="preserve">, включително </w:t>
      </w:r>
      <w:r w:rsidR="004312A5">
        <w:rPr>
          <w:rFonts w:ascii="Times New Roman" w:hAnsi="Times New Roman" w:cs="Times New Roman"/>
          <w:sz w:val="24"/>
          <w:szCs w:val="24"/>
          <w:lang w:val="bg-BG"/>
        </w:rPr>
        <w:t xml:space="preserve">за </w:t>
      </w:r>
      <w:r w:rsidR="00420191" w:rsidRPr="00F20C1F">
        <w:rPr>
          <w:rFonts w:ascii="Times New Roman" w:hAnsi="Times New Roman" w:cs="Times New Roman"/>
          <w:sz w:val="24"/>
          <w:szCs w:val="24"/>
          <w:lang w:val="bg-BG"/>
        </w:rPr>
        <w:t>делеция</w:t>
      </w:r>
      <w:r w:rsidR="004312A5">
        <w:rPr>
          <w:rFonts w:ascii="Times New Roman" w:hAnsi="Times New Roman" w:cs="Times New Roman"/>
          <w:sz w:val="24"/>
          <w:szCs w:val="24"/>
          <w:lang w:val="bg-BG"/>
        </w:rPr>
        <w:t>та</w:t>
      </w:r>
      <w:r w:rsidR="00420191" w:rsidRPr="00F20C1F">
        <w:rPr>
          <w:rFonts w:ascii="Times New Roman" w:hAnsi="Times New Roman" w:cs="Times New Roman"/>
          <w:sz w:val="24"/>
          <w:szCs w:val="24"/>
          <w:lang w:val="bg-BG"/>
        </w:rPr>
        <w:t xml:space="preserve"> gr/gr. Резултати: Двадесет и един мъже (70,00%) от </w:t>
      </w:r>
      <w:r w:rsidR="004312A5">
        <w:rPr>
          <w:rFonts w:ascii="Times New Roman" w:hAnsi="Times New Roman" w:cs="Times New Roman"/>
          <w:sz w:val="24"/>
          <w:szCs w:val="24"/>
          <w:lang w:val="bg-BG"/>
        </w:rPr>
        <w:t xml:space="preserve">пациентите </w:t>
      </w:r>
      <w:r w:rsidR="00420191" w:rsidRPr="00F20C1F">
        <w:rPr>
          <w:rFonts w:ascii="Times New Roman" w:hAnsi="Times New Roman" w:cs="Times New Roman"/>
          <w:sz w:val="24"/>
          <w:szCs w:val="24"/>
          <w:lang w:val="bg-BG"/>
        </w:rPr>
        <w:t>с нарушена фертилност са имали нормален генотип, седем мъже (23,33%) са били носители на делеция gr/gr, а двама мъже (6,67%) са показали делеция на AZFc областта. От контролната група 22 мъже (73,33%) нямаха делеция, седем (23,33%) носеха gr/gr делеция, а един мъж (3,33%) носеше възможна делеция в областта b1-b4 на Y хромозомата. При делецията gr/gr на Y хромозомата се наблюдава статистически незначима разлика (p = 0,94, алфа &lt; 0,05) с контролната група (</w:t>
      </w:r>
      <w:r w:rsidR="004312A5">
        <w:rPr>
          <w:rFonts w:ascii="Times New Roman" w:hAnsi="Times New Roman" w:cs="Times New Roman"/>
          <w:sz w:val="24"/>
          <w:szCs w:val="24"/>
          <w:lang w:val="bg-BG"/>
        </w:rPr>
        <w:t>Хи</w:t>
      </w:r>
      <w:r w:rsidR="00420191" w:rsidRPr="00F20C1F">
        <w:rPr>
          <w:rFonts w:ascii="Times New Roman" w:hAnsi="Times New Roman" w:cs="Times New Roman"/>
          <w:sz w:val="24"/>
          <w:szCs w:val="24"/>
          <w:lang w:val="bg-BG"/>
        </w:rPr>
        <w:t xml:space="preserve">-квадрат, степени на свобода 0,006). Заключение: Резултатите от изследването не показват връзка между тази делеция и </w:t>
      </w:r>
      <w:r w:rsidR="004312A5">
        <w:rPr>
          <w:rFonts w:ascii="Times New Roman" w:hAnsi="Times New Roman" w:cs="Times New Roman"/>
          <w:sz w:val="24"/>
          <w:szCs w:val="24"/>
          <w:lang w:val="bg-BG"/>
        </w:rPr>
        <w:t>мъжкия инфертилитет</w:t>
      </w:r>
      <w:r w:rsidR="00420191" w:rsidRPr="00F20C1F">
        <w:rPr>
          <w:rFonts w:ascii="Times New Roman" w:hAnsi="Times New Roman" w:cs="Times New Roman"/>
          <w:sz w:val="24"/>
          <w:szCs w:val="24"/>
          <w:lang w:val="bg-BG"/>
        </w:rPr>
        <w:t xml:space="preserve"> в изследваната популация. Въпреки малкия размер на извадката, високата честота на </w:t>
      </w:r>
      <w:r w:rsidR="004312A5" w:rsidRPr="00F20C1F">
        <w:rPr>
          <w:rFonts w:ascii="Times New Roman" w:hAnsi="Times New Roman" w:cs="Times New Roman"/>
          <w:sz w:val="24"/>
          <w:szCs w:val="24"/>
          <w:lang w:val="bg-BG"/>
        </w:rPr>
        <w:t xml:space="preserve">gr/gr </w:t>
      </w:r>
      <w:r w:rsidR="00420191" w:rsidRPr="00F20C1F">
        <w:rPr>
          <w:rFonts w:ascii="Times New Roman" w:hAnsi="Times New Roman" w:cs="Times New Roman"/>
          <w:sz w:val="24"/>
          <w:szCs w:val="24"/>
          <w:lang w:val="bg-BG"/>
        </w:rPr>
        <w:t>делеция</w:t>
      </w:r>
      <w:r w:rsidR="004312A5">
        <w:rPr>
          <w:rFonts w:ascii="Times New Roman" w:hAnsi="Times New Roman" w:cs="Times New Roman"/>
          <w:sz w:val="24"/>
          <w:szCs w:val="24"/>
          <w:lang w:val="bg-BG"/>
        </w:rPr>
        <w:t>та</w:t>
      </w:r>
      <w:r w:rsidR="00420191" w:rsidRPr="00F20C1F">
        <w:rPr>
          <w:rFonts w:ascii="Times New Roman" w:hAnsi="Times New Roman" w:cs="Times New Roman"/>
          <w:sz w:val="24"/>
          <w:szCs w:val="24"/>
          <w:lang w:val="bg-BG"/>
        </w:rPr>
        <w:t>, установена в контролната група, предполага, че този вариант може да не е свързан с нарушена сперматогенеза.</w:t>
      </w:r>
    </w:p>
    <w:bookmarkEnd w:id="2"/>
    <w:p w14:paraId="68D55BD5" w14:textId="77777777" w:rsidR="00420191" w:rsidRPr="00F20C1F" w:rsidRDefault="00420191" w:rsidP="00420191">
      <w:pPr>
        <w:pStyle w:val="ListParagraph"/>
        <w:ind w:left="993"/>
        <w:jc w:val="both"/>
        <w:rPr>
          <w:rFonts w:ascii="Times New Roman" w:hAnsi="Times New Roman" w:cs="Times New Roman"/>
          <w:sz w:val="24"/>
          <w:szCs w:val="24"/>
          <w:lang w:val="bg-BG"/>
        </w:rPr>
      </w:pPr>
    </w:p>
    <w:p w14:paraId="73C16A92" w14:textId="366A1C47" w:rsidR="00326B8C" w:rsidRPr="00F20C1F" w:rsidRDefault="00F86383" w:rsidP="00420191">
      <w:pPr>
        <w:pStyle w:val="ListParagraph"/>
        <w:numPr>
          <w:ilvl w:val="1"/>
          <w:numId w:val="24"/>
        </w:numPr>
        <w:ind w:left="993" w:hanging="142"/>
        <w:jc w:val="both"/>
        <w:rPr>
          <w:rFonts w:ascii="Times New Roman" w:hAnsi="Times New Roman" w:cs="Times New Roman"/>
          <w:sz w:val="24"/>
          <w:szCs w:val="24"/>
        </w:rPr>
      </w:pPr>
      <w:r w:rsidRPr="00F20C1F">
        <w:rPr>
          <w:rFonts w:ascii="Times New Roman" w:hAnsi="Times New Roman" w:cs="Times New Roman"/>
          <w:b/>
          <w:bCs/>
          <w:sz w:val="24"/>
          <w:szCs w:val="24"/>
        </w:rPr>
        <w:lastRenderedPageBreak/>
        <w:t>Abstract:</w:t>
      </w:r>
      <w:r w:rsidRPr="00F20C1F">
        <w:rPr>
          <w:rFonts w:ascii="Times New Roman" w:hAnsi="Times New Roman" w:cs="Times New Roman"/>
          <w:sz w:val="24"/>
          <w:szCs w:val="24"/>
          <w:lang w:val="bg-BG"/>
        </w:rPr>
        <w:t xml:space="preserve"> </w:t>
      </w:r>
      <w:r w:rsidR="00326B8C" w:rsidRPr="00F20C1F">
        <w:rPr>
          <w:rFonts w:ascii="Times New Roman" w:hAnsi="Times New Roman" w:cs="Times New Roman"/>
          <w:sz w:val="24"/>
          <w:szCs w:val="24"/>
        </w:rPr>
        <w:t>Background: The microdeletions of the Y chromosome are associated with a decreased number of sperm cells in the ejaculate and male infertility. One such deletion is the gr/gr, which leads to reduction of the alleles in the DAZ gene. In order to evaluate its role, 30 patients with sperm count below 5 × 10</w:t>
      </w:r>
      <w:r w:rsidR="00326B8C" w:rsidRPr="00F20C1F">
        <w:rPr>
          <w:rFonts w:ascii="Times New Roman" w:hAnsi="Times New Roman" w:cs="Times New Roman"/>
          <w:sz w:val="24"/>
          <w:szCs w:val="24"/>
          <w:vertAlign w:val="superscript"/>
        </w:rPr>
        <w:t>6</w:t>
      </w:r>
      <w:r w:rsidR="00326B8C" w:rsidRPr="00F20C1F">
        <w:rPr>
          <w:rFonts w:ascii="Times New Roman" w:hAnsi="Times New Roman" w:cs="Times New Roman"/>
          <w:sz w:val="24"/>
          <w:szCs w:val="24"/>
        </w:rPr>
        <w:t xml:space="preserve">/mL and 30 normal fertile men were genotyped for microdeletions in Azoospermia Factor (AZF) region, including gr/gr deletion. Results: Twenty-one men (70.00%) from the males with impaired fertility had a normal genotype, seven men (23.33%) were carriers of a gr/gr deletion, and two men (6.67%) demonstrated a deletion of the </w:t>
      </w:r>
      <w:proofErr w:type="spellStart"/>
      <w:r w:rsidR="00326B8C" w:rsidRPr="00F20C1F">
        <w:rPr>
          <w:rFonts w:ascii="Times New Roman" w:hAnsi="Times New Roman" w:cs="Times New Roman"/>
          <w:sz w:val="24"/>
          <w:szCs w:val="24"/>
        </w:rPr>
        <w:t>AZFc</w:t>
      </w:r>
      <w:proofErr w:type="spellEnd"/>
      <w:r w:rsidR="00326B8C" w:rsidRPr="00F20C1F">
        <w:rPr>
          <w:rFonts w:ascii="Times New Roman" w:hAnsi="Times New Roman" w:cs="Times New Roman"/>
          <w:sz w:val="24"/>
          <w:szCs w:val="24"/>
        </w:rPr>
        <w:t xml:space="preserve"> region. From the control group, there were 22 men (73.33%) with no deletion, seven (23.33%) carried a gr/gr deletion, and one man (3.33%) carried a possible deletion in the b1-b4 region of the Y chromosome. The gr/gr deletion of the Y chromosome showed a statistically nonsignificant difference (</w:t>
      </w:r>
      <w:r w:rsidR="00326B8C" w:rsidRPr="00F20C1F">
        <w:rPr>
          <w:rFonts w:ascii="Times New Roman" w:hAnsi="Times New Roman" w:cs="Times New Roman"/>
          <w:i/>
          <w:iCs/>
          <w:sz w:val="24"/>
          <w:szCs w:val="24"/>
        </w:rPr>
        <w:t>p</w:t>
      </w:r>
      <w:r w:rsidR="00326B8C" w:rsidRPr="00F20C1F">
        <w:rPr>
          <w:rFonts w:ascii="Times New Roman" w:hAnsi="Times New Roman" w:cs="Times New Roman"/>
          <w:sz w:val="24"/>
          <w:szCs w:val="24"/>
        </w:rPr>
        <w:t> = 0.94, alpha &lt; 0.05) with the control group (chi-square, degrees of freedom 0.006). Conclusion: The results from the research show no association between this deletion and male infertility in the studied population. Despite the small sample size, the high frequency of the gr/gr deletion, found in the control group, suggests that this variant may not be associated with impaired spermatogenesis.</w:t>
      </w:r>
    </w:p>
    <w:p w14:paraId="4265DE04" w14:textId="5E226616" w:rsidR="00F86383" w:rsidRPr="00F20C1F" w:rsidRDefault="00F86383" w:rsidP="00D96DFA">
      <w:pPr>
        <w:pStyle w:val="ListParagraph"/>
        <w:ind w:left="1440"/>
        <w:jc w:val="both"/>
        <w:rPr>
          <w:rFonts w:ascii="Times New Roman" w:hAnsi="Times New Roman" w:cs="Times New Roman"/>
          <w:sz w:val="24"/>
          <w:szCs w:val="24"/>
          <w:lang w:val="bg-BG"/>
        </w:rPr>
      </w:pPr>
    </w:p>
    <w:p w14:paraId="7525FD94" w14:textId="0AF7BC3D" w:rsidR="00161774" w:rsidRPr="00F57DC8" w:rsidRDefault="00D96DFA" w:rsidP="00F86383">
      <w:pPr>
        <w:pStyle w:val="ListParagraph"/>
        <w:numPr>
          <w:ilvl w:val="0"/>
          <w:numId w:val="4"/>
        </w:numPr>
        <w:jc w:val="both"/>
        <w:rPr>
          <w:rFonts w:ascii="Times New Roman" w:hAnsi="Times New Roman" w:cs="Times New Roman"/>
          <w:sz w:val="24"/>
          <w:szCs w:val="24"/>
          <w:lang w:val="bg-BG"/>
        </w:rPr>
      </w:pPr>
      <w:r w:rsidRPr="00F57DC8">
        <w:rPr>
          <w:rFonts w:ascii="Times New Roman" w:hAnsi="Times New Roman" w:cs="Times New Roman"/>
          <w:sz w:val="24"/>
          <w:szCs w:val="24"/>
          <w:lang w:val="bg-BG"/>
        </w:rPr>
        <w:t xml:space="preserve">Tsvetkova M., </w:t>
      </w:r>
      <w:r w:rsidRPr="00F57DC8">
        <w:rPr>
          <w:rFonts w:ascii="Times New Roman" w:hAnsi="Times New Roman" w:cs="Times New Roman"/>
          <w:b/>
          <w:bCs/>
          <w:sz w:val="24"/>
          <w:szCs w:val="24"/>
          <w:lang w:val="bg-BG"/>
        </w:rPr>
        <w:t>M.Levkova</w:t>
      </w:r>
      <w:r w:rsidRPr="00F57DC8">
        <w:rPr>
          <w:rFonts w:ascii="Times New Roman" w:hAnsi="Times New Roman" w:cs="Times New Roman"/>
          <w:sz w:val="24"/>
          <w:szCs w:val="24"/>
          <w:lang w:val="bg-BG"/>
        </w:rPr>
        <w:t xml:space="preserve">, S.Tsvetkova, M.Hachmeriyan, E.Kovachev, L.Angelova. </w:t>
      </w:r>
      <w:r w:rsidRPr="00F57DC8">
        <w:rPr>
          <w:rFonts w:ascii="Times New Roman" w:hAnsi="Times New Roman" w:cs="Times New Roman"/>
          <w:i/>
          <w:iCs/>
          <w:sz w:val="24"/>
          <w:szCs w:val="24"/>
          <w:lang w:val="bg-BG"/>
        </w:rPr>
        <w:t>Double aneuploidy 48,ХХХ,+21 of a Bulgarian newborn with Down phenotype: a case report</w:t>
      </w:r>
      <w:r w:rsidRPr="00F57DC8">
        <w:rPr>
          <w:rFonts w:ascii="Times New Roman" w:hAnsi="Times New Roman" w:cs="Times New Roman"/>
          <w:sz w:val="24"/>
          <w:szCs w:val="24"/>
          <w:lang w:val="bg-BG"/>
        </w:rPr>
        <w:t>. Egyptian journal of Medical Human Genetics, 2020, 21(1), pp.1-5. Q4</w:t>
      </w:r>
    </w:p>
    <w:p w14:paraId="3E420583" w14:textId="6CE9AC94" w:rsidR="005A0B69" w:rsidRPr="00F20C1F" w:rsidRDefault="00F86383" w:rsidP="00420191">
      <w:pPr>
        <w:pStyle w:val="ListParagraph"/>
        <w:numPr>
          <w:ilvl w:val="1"/>
          <w:numId w:val="23"/>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3" w:name="_Hlk144324871"/>
      <w:r w:rsidR="00F57DC8">
        <w:rPr>
          <w:rFonts w:ascii="Times New Roman" w:hAnsi="Times New Roman" w:cs="Times New Roman"/>
          <w:sz w:val="24"/>
          <w:szCs w:val="24"/>
          <w:lang w:val="bg-BG"/>
        </w:rPr>
        <w:t>Въведение</w:t>
      </w:r>
      <w:r w:rsidR="00420191" w:rsidRPr="00F20C1F">
        <w:rPr>
          <w:rFonts w:ascii="Times New Roman" w:hAnsi="Times New Roman" w:cs="Times New Roman"/>
          <w:sz w:val="24"/>
          <w:szCs w:val="24"/>
          <w:lang w:val="bg-BG"/>
        </w:rPr>
        <w:t xml:space="preserve">: Анеуплоидията е една от най-важните хромозомни аберации, която включва </w:t>
      </w:r>
      <w:r w:rsidR="00F57DC8">
        <w:rPr>
          <w:rFonts w:ascii="Times New Roman" w:hAnsi="Times New Roman" w:cs="Times New Roman"/>
          <w:sz w:val="24"/>
          <w:szCs w:val="24"/>
          <w:lang w:val="bg-BG"/>
        </w:rPr>
        <w:t>абнормен</w:t>
      </w:r>
      <w:r w:rsidR="00420191" w:rsidRPr="00F20C1F">
        <w:rPr>
          <w:rFonts w:ascii="Times New Roman" w:hAnsi="Times New Roman" w:cs="Times New Roman"/>
          <w:sz w:val="24"/>
          <w:szCs w:val="24"/>
          <w:lang w:val="bg-BG"/>
        </w:rPr>
        <w:t xml:space="preserve"> брой хромозоми. Тризомия 21 (синдром на Даун) и </w:t>
      </w:r>
      <w:r w:rsidR="00F57DC8">
        <w:rPr>
          <w:rFonts w:ascii="Times New Roman" w:hAnsi="Times New Roman" w:cs="Times New Roman"/>
          <w:sz w:val="24"/>
          <w:szCs w:val="24"/>
          <w:lang w:val="bg-BG"/>
        </w:rPr>
        <w:t>бройни</w:t>
      </w:r>
      <w:r w:rsidR="00420191" w:rsidRPr="00F20C1F">
        <w:rPr>
          <w:rFonts w:ascii="Times New Roman" w:hAnsi="Times New Roman" w:cs="Times New Roman"/>
          <w:sz w:val="24"/>
          <w:szCs w:val="24"/>
          <w:lang w:val="bg-BG"/>
        </w:rPr>
        <w:t xml:space="preserve">те аберации на половите хромозоми са с относително висока честота на разпространение сред общото население. Пациентите обаче обикновено имат едно от горепосочените генетични нарушения, а комбинираните случаи на две различни тризомии са необичайни. Представяне на случая: Съобщаваме за случай на пациент с двойна анеуплоидия - комбинация от тризомия 21 и </w:t>
      </w:r>
      <w:r w:rsidR="00F57DC8">
        <w:rPr>
          <w:rFonts w:ascii="Times New Roman" w:hAnsi="Times New Roman" w:cs="Times New Roman"/>
          <w:sz w:val="24"/>
          <w:szCs w:val="24"/>
          <w:lang w:val="bg-BG"/>
        </w:rPr>
        <w:t xml:space="preserve">допълнителна </w:t>
      </w:r>
      <w:r w:rsidR="00420191" w:rsidRPr="00F20C1F">
        <w:rPr>
          <w:rFonts w:ascii="Times New Roman" w:hAnsi="Times New Roman" w:cs="Times New Roman"/>
          <w:sz w:val="24"/>
          <w:szCs w:val="24"/>
          <w:lang w:val="bg-BG"/>
        </w:rPr>
        <w:t xml:space="preserve">Х </w:t>
      </w:r>
      <w:r w:rsidR="00F57DC8">
        <w:rPr>
          <w:rFonts w:ascii="Times New Roman" w:hAnsi="Times New Roman" w:cs="Times New Roman"/>
          <w:sz w:val="24"/>
          <w:szCs w:val="24"/>
          <w:lang w:val="bg-BG"/>
        </w:rPr>
        <w:t>хромозома (47,ХХХ)</w:t>
      </w:r>
      <w:r w:rsidR="00420191" w:rsidRPr="00F20C1F">
        <w:rPr>
          <w:rFonts w:ascii="Times New Roman" w:hAnsi="Times New Roman" w:cs="Times New Roman"/>
          <w:sz w:val="24"/>
          <w:szCs w:val="24"/>
          <w:lang w:val="bg-BG"/>
        </w:rPr>
        <w:t>. Пробандът е имал типични</w:t>
      </w:r>
      <w:r w:rsidR="00F57DC8">
        <w:rPr>
          <w:rFonts w:ascii="Times New Roman" w:hAnsi="Times New Roman" w:cs="Times New Roman"/>
          <w:sz w:val="24"/>
          <w:szCs w:val="24"/>
          <w:lang w:val="bg-BG"/>
        </w:rPr>
        <w:t xml:space="preserve"> лицеви</w:t>
      </w:r>
      <w:r w:rsidR="00420191" w:rsidRPr="00F20C1F">
        <w:rPr>
          <w:rFonts w:ascii="Times New Roman" w:hAnsi="Times New Roman" w:cs="Times New Roman"/>
          <w:sz w:val="24"/>
          <w:szCs w:val="24"/>
          <w:lang w:val="bg-BG"/>
        </w:rPr>
        <w:t xml:space="preserve"> характеристики на синдрома на Даун и не е проявявал никакви симптоми на полизомия Х. Пациент</w:t>
      </w:r>
      <w:r w:rsidR="00F57DC8">
        <w:rPr>
          <w:rFonts w:ascii="Times New Roman" w:hAnsi="Times New Roman" w:cs="Times New Roman"/>
          <w:sz w:val="24"/>
          <w:szCs w:val="24"/>
          <w:lang w:val="bg-BG"/>
        </w:rPr>
        <w:t>ката е</w:t>
      </w:r>
      <w:r w:rsidR="00420191" w:rsidRPr="00F20C1F">
        <w:rPr>
          <w:rFonts w:ascii="Times New Roman" w:hAnsi="Times New Roman" w:cs="Times New Roman"/>
          <w:sz w:val="24"/>
          <w:szCs w:val="24"/>
          <w:lang w:val="bg-BG"/>
        </w:rPr>
        <w:t xml:space="preserve"> имал</w:t>
      </w:r>
      <w:r w:rsidR="00F57DC8">
        <w:rPr>
          <w:rFonts w:ascii="Times New Roman" w:hAnsi="Times New Roman" w:cs="Times New Roman"/>
          <w:sz w:val="24"/>
          <w:szCs w:val="24"/>
          <w:lang w:val="bg-BG"/>
        </w:rPr>
        <w:t>а</w:t>
      </w:r>
      <w:r w:rsidR="00420191" w:rsidRPr="00F20C1F">
        <w:rPr>
          <w:rFonts w:ascii="Times New Roman" w:hAnsi="Times New Roman" w:cs="Times New Roman"/>
          <w:sz w:val="24"/>
          <w:szCs w:val="24"/>
          <w:lang w:val="bg-BG"/>
        </w:rPr>
        <w:t xml:space="preserve"> хипотония, сърдечен дефект и пръстеновиден панкреас. Поставена е клинична диагноза синдром на Даун, но цитогенетичният анализ установява две свободни пълни тризомии - тризомия 21 (синдром на Даун) и </w:t>
      </w:r>
      <w:r w:rsidR="00F57DC8">
        <w:rPr>
          <w:rFonts w:ascii="Times New Roman" w:hAnsi="Times New Roman" w:cs="Times New Roman"/>
          <w:sz w:val="24"/>
          <w:szCs w:val="24"/>
          <w:lang w:val="bg-BG"/>
        </w:rPr>
        <w:t>полизомия</w:t>
      </w:r>
      <w:r w:rsidR="00420191" w:rsidRPr="00F20C1F">
        <w:rPr>
          <w:rFonts w:ascii="Times New Roman" w:hAnsi="Times New Roman" w:cs="Times New Roman"/>
          <w:sz w:val="24"/>
          <w:szCs w:val="24"/>
          <w:lang w:val="bg-BG"/>
        </w:rPr>
        <w:t xml:space="preserve"> Х. Заключение: Случаите на двойна анеуплоидия, съчетаваща тризомия 21 и тризомия </w:t>
      </w:r>
      <w:r w:rsidR="00F57DC8">
        <w:rPr>
          <w:rFonts w:ascii="Times New Roman" w:hAnsi="Times New Roman" w:cs="Times New Roman"/>
          <w:sz w:val="24"/>
          <w:szCs w:val="24"/>
          <w:lang w:val="bg-BG"/>
        </w:rPr>
        <w:t>по</w:t>
      </w:r>
      <w:r w:rsidR="00420191" w:rsidRPr="00F20C1F">
        <w:rPr>
          <w:rFonts w:ascii="Times New Roman" w:hAnsi="Times New Roman" w:cs="Times New Roman"/>
          <w:sz w:val="24"/>
          <w:szCs w:val="24"/>
          <w:lang w:val="bg-BG"/>
        </w:rPr>
        <w:t xml:space="preserve"> полова хромозома, могат да бъдат предизвикателство, тъй като пациентите проявяват само симптоми, типични за синдрома на Даун. Откриването на втора пълна свободна тризомия Х в нашия случай беше случайно откритие. Това показва важността на цитогенетичния анализ, въпреки очевидния фенотип на тризомия 21.</w:t>
      </w:r>
    </w:p>
    <w:bookmarkEnd w:id="3"/>
    <w:p w14:paraId="205BFA47" w14:textId="77777777" w:rsidR="00420191" w:rsidRPr="00F20C1F" w:rsidRDefault="00420191" w:rsidP="00420191">
      <w:pPr>
        <w:pStyle w:val="ListParagraph"/>
        <w:ind w:left="993"/>
        <w:jc w:val="both"/>
        <w:rPr>
          <w:rFonts w:ascii="Times New Roman" w:hAnsi="Times New Roman" w:cs="Times New Roman"/>
          <w:sz w:val="24"/>
          <w:szCs w:val="24"/>
          <w:lang w:val="bg-BG"/>
        </w:rPr>
      </w:pPr>
    </w:p>
    <w:p w14:paraId="7007591D" w14:textId="382B4C75" w:rsidR="00F86383" w:rsidRPr="00F20C1F" w:rsidRDefault="00F86383" w:rsidP="00420191">
      <w:pPr>
        <w:pStyle w:val="ListParagraph"/>
        <w:numPr>
          <w:ilvl w:val="1"/>
          <w:numId w:val="23"/>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D96DFA" w:rsidRPr="00F20C1F">
        <w:rPr>
          <w:rFonts w:ascii="Times New Roman" w:hAnsi="Times New Roman" w:cs="Times New Roman"/>
          <w:sz w:val="24"/>
          <w:szCs w:val="24"/>
        </w:rPr>
        <w:t xml:space="preserve">Background: Aneuploidy is one of the most important chromosomal aberrations, which involves an abnormal number of the chromosomes. Trisomy 21 (Down syndrome) and numerical aberrations of the sex chromosomes have a relatively high prevalence in the general population. However, the patients usually have one of the </w:t>
      </w:r>
      <w:r w:rsidR="00D96DFA" w:rsidRPr="00F20C1F">
        <w:rPr>
          <w:rFonts w:ascii="Times New Roman" w:hAnsi="Times New Roman" w:cs="Times New Roman"/>
          <w:sz w:val="24"/>
          <w:szCs w:val="24"/>
        </w:rPr>
        <w:lastRenderedPageBreak/>
        <w:t xml:space="preserve">above genetic disorders and combined cases of two different </w:t>
      </w:r>
      <w:proofErr w:type="spellStart"/>
      <w:r w:rsidR="00D96DFA" w:rsidRPr="00F20C1F">
        <w:rPr>
          <w:rFonts w:ascii="Times New Roman" w:hAnsi="Times New Roman" w:cs="Times New Roman"/>
          <w:sz w:val="24"/>
          <w:szCs w:val="24"/>
        </w:rPr>
        <w:t>trisomies</w:t>
      </w:r>
      <w:proofErr w:type="spellEnd"/>
      <w:r w:rsidR="00D96DFA" w:rsidRPr="00F20C1F">
        <w:rPr>
          <w:rFonts w:ascii="Times New Roman" w:hAnsi="Times New Roman" w:cs="Times New Roman"/>
          <w:sz w:val="24"/>
          <w:szCs w:val="24"/>
        </w:rPr>
        <w:t xml:space="preserve"> are unusual. Case presentation: We report a case of a patient with double aneuploidy—a combination of trisomy 21 and triple X syndrome. The proband had typical features of Down syndrome and did not manifest any symptoms of polysomy X. The patient had hypotonia, a cardiac defect, and an annular pancreas. A clinical diagnosis of Down syndrome was established, but the cytogenetic analysis found two free full </w:t>
      </w:r>
      <w:proofErr w:type="spellStart"/>
      <w:r w:rsidR="00D96DFA" w:rsidRPr="00F20C1F">
        <w:rPr>
          <w:rFonts w:ascii="Times New Roman" w:hAnsi="Times New Roman" w:cs="Times New Roman"/>
          <w:sz w:val="24"/>
          <w:szCs w:val="24"/>
        </w:rPr>
        <w:t>trisomies</w:t>
      </w:r>
      <w:proofErr w:type="spellEnd"/>
      <w:r w:rsidR="00D96DFA" w:rsidRPr="00F20C1F">
        <w:rPr>
          <w:rFonts w:ascii="Times New Roman" w:hAnsi="Times New Roman" w:cs="Times New Roman"/>
          <w:sz w:val="24"/>
          <w:szCs w:val="24"/>
        </w:rPr>
        <w:t xml:space="preserve"> - trisomy 21 (Down syndrome) and triple X. Conclusion: Cases of double aneuploidy, combining trisomy 21 and trisomy of a sex chromosome, could be challenging because the patients manifest only symptoms, typical for Down syndrome. The discovery of a second complete free trisomy X in our case was an incidental finding. This illustrates the importance of the cytogenetic analysis, despite the evident phenotype of trisomy 21.</w:t>
      </w:r>
    </w:p>
    <w:p w14:paraId="403F227D" w14:textId="77777777" w:rsidR="00420191" w:rsidRPr="00F20C1F" w:rsidRDefault="00420191" w:rsidP="00420191">
      <w:pPr>
        <w:pStyle w:val="ListParagraph"/>
        <w:ind w:left="993"/>
        <w:jc w:val="both"/>
        <w:rPr>
          <w:rFonts w:ascii="Times New Roman" w:hAnsi="Times New Roman" w:cs="Times New Roman"/>
          <w:sz w:val="24"/>
          <w:szCs w:val="24"/>
          <w:lang w:val="bg-BG"/>
        </w:rPr>
      </w:pPr>
    </w:p>
    <w:p w14:paraId="4D7E2009" w14:textId="091FB8E0" w:rsidR="00161774" w:rsidRPr="00AE515C" w:rsidRDefault="00D96DFA" w:rsidP="00F86383">
      <w:pPr>
        <w:pStyle w:val="ListParagraph"/>
        <w:numPr>
          <w:ilvl w:val="0"/>
          <w:numId w:val="4"/>
        </w:numPr>
        <w:jc w:val="both"/>
        <w:rPr>
          <w:rFonts w:ascii="Times New Roman" w:hAnsi="Times New Roman" w:cs="Times New Roman"/>
          <w:sz w:val="24"/>
          <w:szCs w:val="24"/>
          <w:lang w:val="bg-BG"/>
        </w:rPr>
      </w:pPr>
      <w:proofErr w:type="spellStart"/>
      <w:r w:rsidRPr="00AE515C">
        <w:rPr>
          <w:rFonts w:ascii="Times New Roman" w:hAnsi="Times New Roman" w:cs="Times New Roman"/>
          <w:sz w:val="24"/>
          <w:szCs w:val="24"/>
        </w:rPr>
        <w:t>Стоянова</w:t>
      </w:r>
      <w:proofErr w:type="spellEnd"/>
      <w:r w:rsidRPr="00AE515C">
        <w:rPr>
          <w:rFonts w:ascii="Times New Roman" w:hAnsi="Times New Roman" w:cs="Times New Roman"/>
          <w:sz w:val="24"/>
          <w:szCs w:val="24"/>
        </w:rPr>
        <w:t xml:space="preserve">, М, </w:t>
      </w:r>
      <w:proofErr w:type="spellStart"/>
      <w:r w:rsidRPr="00AE515C">
        <w:rPr>
          <w:rFonts w:ascii="Times New Roman" w:hAnsi="Times New Roman" w:cs="Times New Roman"/>
          <w:b/>
          <w:bCs/>
          <w:sz w:val="24"/>
          <w:szCs w:val="24"/>
        </w:rPr>
        <w:t>М.Левкова</w:t>
      </w:r>
      <w:proofErr w:type="spellEnd"/>
      <w:r w:rsidRPr="00AE515C">
        <w:rPr>
          <w:rFonts w:ascii="Times New Roman" w:hAnsi="Times New Roman" w:cs="Times New Roman"/>
          <w:sz w:val="24"/>
          <w:szCs w:val="24"/>
        </w:rPr>
        <w:t xml:space="preserve">, </w:t>
      </w:r>
      <w:proofErr w:type="spellStart"/>
      <w:r w:rsidRPr="00AE515C">
        <w:rPr>
          <w:rFonts w:ascii="Times New Roman" w:hAnsi="Times New Roman" w:cs="Times New Roman"/>
          <w:sz w:val="24"/>
          <w:szCs w:val="24"/>
        </w:rPr>
        <w:t>М.Хачмерян</w:t>
      </w:r>
      <w:proofErr w:type="spellEnd"/>
      <w:r w:rsidRPr="00AE515C">
        <w:rPr>
          <w:rFonts w:ascii="Times New Roman" w:hAnsi="Times New Roman" w:cs="Times New Roman"/>
          <w:sz w:val="24"/>
          <w:szCs w:val="24"/>
        </w:rPr>
        <w:t xml:space="preserve">, </w:t>
      </w:r>
      <w:proofErr w:type="spellStart"/>
      <w:r w:rsidRPr="00AE515C">
        <w:rPr>
          <w:rFonts w:ascii="Times New Roman" w:hAnsi="Times New Roman" w:cs="Times New Roman"/>
          <w:sz w:val="24"/>
          <w:szCs w:val="24"/>
        </w:rPr>
        <w:t>В.Стоянов</w:t>
      </w:r>
      <w:proofErr w:type="spellEnd"/>
      <w:r w:rsidRPr="00AE515C">
        <w:rPr>
          <w:rFonts w:ascii="Times New Roman" w:hAnsi="Times New Roman" w:cs="Times New Roman"/>
          <w:sz w:val="24"/>
          <w:szCs w:val="24"/>
        </w:rPr>
        <w:t xml:space="preserve">, </w:t>
      </w:r>
      <w:proofErr w:type="spellStart"/>
      <w:r w:rsidRPr="00AE515C">
        <w:rPr>
          <w:rFonts w:ascii="Times New Roman" w:hAnsi="Times New Roman" w:cs="Times New Roman"/>
          <w:sz w:val="24"/>
          <w:szCs w:val="24"/>
        </w:rPr>
        <w:t>В.Младенов</w:t>
      </w:r>
      <w:proofErr w:type="spellEnd"/>
      <w:r w:rsidRPr="00AE515C">
        <w:rPr>
          <w:rFonts w:ascii="Times New Roman" w:hAnsi="Times New Roman" w:cs="Times New Roman"/>
          <w:sz w:val="24"/>
          <w:szCs w:val="24"/>
        </w:rPr>
        <w:t xml:space="preserve">, </w:t>
      </w:r>
      <w:proofErr w:type="spellStart"/>
      <w:r w:rsidRPr="00AE515C">
        <w:rPr>
          <w:rFonts w:ascii="Times New Roman" w:hAnsi="Times New Roman" w:cs="Times New Roman"/>
          <w:sz w:val="24"/>
          <w:szCs w:val="24"/>
        </w:rPr>
        <w:t>Л.Ангелова</w:t>
      </w:r>
      <w:proofErr w:type="spellEnd"/>
      <w:r w:rsidRPr="00AE515C">
        <w:rPr>
          <w:rFonts w:ascii="Times New Roman" w:hAnsi="Times New Roman" w:cs="Times New Roman"/>
          <w:sz w:val="24"/>
          <w:szCs w:val="24"/>
        </w:rPr>
        <w:t xml:space="preserve">. </w:t>
      </w:r>
      <w:proofErr w:type="spellStart"/>
      <w:r w:rsidRPr="00AE515C">
        <w:rPr>
          <w:rFonts w:ascii="Times New Roman" w:hAnsi="Times New Roman" w:cs="Times New Roman"/>
          <w:i/>
          <w:iCs/>
          <w:sz w:val="24"/>
          <w:szCs w:val="24"/>
        </w:rPr>
        <w:t>Случай</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на</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синдром</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на</w:t>
      </w:r>
      <w:proofErr w:type="spellEnd"/>
      <w:r w:rsidRPr="00AE515C">
        <w:rPr>
          <w:rFonts w:ascii="Times New Roman" w:hAnsi="Times New Roman" w:cs="Times New Roman"/>
          <w:i/>
          <w:iCs/>
          <w:sz w:val="24"/>
          <w:szCs w:val="24"/>
        </w:rPr>
        <w:t xml:space="preserve"> Bardet-Biedl – </w:t>
      </w:r>
      <w:proofErr w:type="spellStart"/>
      <w:r w:rsidRPr="00AE515C">
        <w:rPr>
          <w:rFonts w:ascii="Times New Roman" w:hAnsi="Times New Roman" w:cs="Times New Roman"/>
          <w:i/>
          <w:iCs/>
          <w:sz w:val="24"/>
          <w:szCs w:val="24"/>
        </w:rPr>
        <w:t>клинична</w:t>
      </w:r>
      <w:proofErr w:type="spellEnd"/>
      <w:r w:rsidRPr="00AE515C">
        <w:rPr>
          <w:rFonts w:ascii="Times New Roman" w:hAnsi="Times New Roman" w:cs="Times New Roman"/>
          <w:i/>
          <w:iCs/>
          <w:sz w:val="24"/>
          <w:szCs w:val="24"/>
        </w:rPr>
        <w:t xml:space="preserve"> и </w:t>
      </w:r>
      <w:proofErr w:type="spellStart"/>
      <w:r w:rsidRPr="00AE515C">
        <w:rPr>
          <w:rFonts w:ascii="Times New Roman" w:hAnsi="Times New Roman" w:cs="Times New Roman"/>
          <w:i/>
          <w:iCs/>
          <w:sz w:val="24"/>
          <w:szCs w:val="24"/>
        </w:rPr>
        <w:t>генетична</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диагноза</w:t>
      </w:r>
      <w:proofErr w:type="spellEnd"/>
      <w:r w:rsidRPr="00AE515C">
        <w:rPr>
          <w:rFonts w:ascii="Times New Roman" w:hAnsi="Times New Roman" w:cs="Times New Roman"/>
          <w:sz w:val="24"/>
          <w:szCs w:val="24"/>
        </w:rPr>
        <w:t xml:space="preserve">. </w:t>
      </w:r>
      <w:proofErr w:type="spellStart"/>
      <w:proofErr w:type="gramStart"/>
      <w:r w:rsidRPr="00AE515C">
        <w:rPr>
          <w:rFonts w:ascii="Times New Roman" w:hAnsi="Times New Roman" w:cs="Times New Roman"/>
          <w:sz w:val="24"/>
          <w:szCs w:val="24"/>
        </w:rPr>
        <w:t>Сп.Педиатрия</w:t>
      </w:r>
      <w:proofErr w:type="spellEnd"/>
      <w:proofErr w:type="gramEnd"/>
      <w:r w:rsidRPr="00AE515C">
        <w:rPr>
          <w:rFonts w:ascii="Times New Roman" w:hAnsi="Times New Roman" w:cs="Times New Roman"/>
          <w:sz w:val="24"/>
          <w:szCs w:val="24"/>
        </w:rPr>
        <w:t xml:space="preserve">, </w:t>
      </w:r>
      <w:proofErr w:type="spellStart"/>
      <w:r w:rsidRPr="00AE515C">
        <w:rPr>
          <w:rFonts w:ascii="Times New Roman" w:hAnsi="Times New Roman" w:cs="Times New Roman"/>
          <w:sz w:val="24"/>
          <w:szCs w:val="24"/>
        </w:rPr>
        <w:t>том</w:t>
      </w:r>
      <w:proofErr w:type="spellEnd"/>
      <w:r w:rsidRPr="00AE515C">
        <w:rPr>
          <w:rFonts w:ascii="Times New Roman" w:hAnsi="Times New Roman" w:cs="Times New Roman"/>
          <w:sz w:val="24"/>
          <w:szCs w:val="24"/>
        </w:rPr>
        <w:t xml:space="preserve"> 60, бр.3, 2020, 38-40. Q4</w:t>
      </w:r>
    </w:p>
    <w:p w14:paraId="01C67BA5" w14:textId="1E77D193" w:rsidR="00763A41" w:rsidRPr="00F20C1F" w:rsidRDefault="00F86383" w:rsidP="00420191">
      <w:pPr>
        <w:pStyle w:val="ListParagraph"/>
        <w:numPr>
          <w:ilvl w:val="1"/>
          <w:numId w:val="2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4" w:name="_Hlk144324902"/>
      <w:proofErr w:type="spellStart"/>
      <w:r w:rsidR="00E10B73" w:rsidRPr="00F20C1F">
        <w:rPr>
          <w:rFonts w:ascii="Times New Roman" w:hAnsi="Times New Roman" w:cs="Times New Roman"/>
          <w:sz w:val="24"/>
          <w:szCs w:val="24"/>
        </w:rPr>
        <w:t>Синдромът</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Bardet-Biedl (BBS) е </w:t>
      </w:r>
      <w:proofErr w:type="spellStart"/>
      <w:r w:rsidR="00E10B73" w:rsidRPr="00F20C1F">
        <w:rPr>
          <w:rFonts w:ascii="Times New Roman" w:hAnsi="Times New Roman" w:cs="Times New Roman"/>
          <w:sz w:val="24"/>
          <w:szCs w:val="24"/>
        </w:rPr>
        <w:t>рядкa</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автозомно-рецесивна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цилиопатия</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характеризираща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се</w:t>
      </w:r>
      <w:proofErr w:type="spellEnd"/>
      <w:r w:rsidR="00E10B73" w:rsidRPr="00F20C1F">
        <w:rPr>
          <w:rFonts w:ascii="Times New Roman" w:hAnsi="Times New Roman" w:cs="Times New Roman"/>
          <w:sz w:val="24"/>
          <w:szCs w:val="24"/>
        </w:rPr>
        <w:t xml:space="preserve"> с </w:t>
      </w:r>
      <w:proofErr w:type="spellStart"/>
      <w:r w:rsidR="00E10B73" w:rsidRPr="00F20C1F">
        <w:rPr>
          <w:rFonts w:ascii="Times New Roman" w:hAnsi="Times New Roman" w:cs="Times New Roman"/>
          <w:sz w:val="24"/>
          <w:szCs w:val="24"/>
        </w:rPr>
        <w:t>клинична</w:t>
      </w:r>
      <w:proofErr w:type="spellEnd"/>
      <w:r w:rsidR="00E10B73" w:rsidRPr="00F20C1F">
        <w:rPr>
          <w:rFonts w:ascii="Times New Roman" w:hAnsi="Times New Roman" w:cs="Times New Roman"/>
          <w:sz w:val="24"/>
          <w:szCs w:val="24"/>
        </w:rPr>
        <w:t xml:space="preserve"> и </w:t>
      </w:r>
      <w:proofErr w:type="spellStart"/>
      <w:r w:rsidR="00E10B73" w:rsidRPr="00F20C1F">
        <w:rPr>
          <w:rFonts w:ascii="Times New Roman" w:hAnsi="Times New Roman" w:cs="Times New Roman"/>
          <w:sz w:val="24"/>
          <w:szCs w:val="24"/>
        </w:rPr>
        <w:t>генетична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хетерогенност</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Представяме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случай</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петгодишно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момиче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при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което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съчетанието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постаксиална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полидактилия</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изоставане</w:t>
      </w:r>
      <w:proofErr w:type="spellEnd"/>
      <w:r w:rsidR="00E10B73" w:rsidRPr="00F20C1F">
        <w:rPr>
          <w:rFonts w:ascii="Times New Roman" w:hAnsi="Times New Roman" w:cs="Times New Roman"/>
          <w:sz w:val="24"/>
          <w:szCs w:val="24"/>
        </w:rPr>
        <w:t xml:space="preserve"> в НПР и </w:t>
      </w:r>
      <w:proofErr w:type="spellStart"/>
      <w:r w:rsidR="00E10B73" w:rsidRPr="00F20C1F">
        <w:rPr>
          <w:rFonts w:ascii="Times New Roman" w:hAnsi="Times New Roman" w:cs="Times New Roman"/>
          <w:sz w:val="24"/>
          <w:szCs w:val="24"/>
        </w:rPr>
        <w:t>затлъстяване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насочи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към</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вероятна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диагноза</w:t>
      </w:r>
      <w:proofErr w:type="spellEnd"/>
      <w:r w:rsidR="00E10B73" w:rsidRPr="00F20C1F">
        <w:rPr>
          <w:rFonts w:ascii="Times New Roman" w:hAnsi="Times New Roman" w:cs="Times New Roman"/>
          <w:sz w:val="24"/>
          <w:szCs w:val="24"/>
        </w:rPr>
        <w:t xml:space="preserve"> BBS, </w:t>
      </w:r>
      <w:proofErr w:type="spellStart"/>
      <w:r w:rsidR="00E10B73" w:rsidRPr="00F20C1F">
        <w:rPr>
          <w:rFonts w:ascii="Times New Roman" w:hAnsi="Times New Roman" w:cs="Times New Roman"/>
          <w:sz w:val="24"/>
          <w:szCs w:val="24"/>
        </w:rPr>
        <w:t>потвърдена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молекулярно-генетично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Случаят</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илюстрира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поетапната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поява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типичните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заболяването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клинични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прояви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което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би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могло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да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затрудни</w:t>
      </w:r>
      <w:proofErr w:type="spellEnd"/>
      <w:r w:rsidR="00E10B73" w:rsidRPr="00F20C1F">
        <w:rPr>
          <w:rFonts w:ascii="Times New Roman" w:hAnsi="Times New Roman" w:cs="Times New Roman"/>
          <w:sz w:val="24"/>
          <w:szCs w:val="24"/>
        </w:rPr>
        <w:t xml:space="preserve"> и </w:t>
      </w:r>
      <w:proofErr w:type="spellStart"/>
      <w:r w:rsidR="00E10B73" w:rsidRPr="00F20C1F">
        <w:rPr>
          <w:rFonts w:ascii="Times New Roman" w:hAnsi="Times New Roman" w:cs="Times New Roman"/>
          <w:sz w:val="24"/>
          <w:szCs w:val="24"/>
        </w:rPr>
        <w:t>забави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поставянето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точната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диагноза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Тя</w:t>
      </w:r>
      <w:proofErr w:type="spellEnd"/>
      <w:r w:rsidR="00E10B73" w:rsidRPr="00F20C1F">
        <w:rPr>
          <w:rFonts w:ascii="Times New Roman" w:hAnsi="Times New Roman" w:cs="Times New Roman"/>
          <w:sz w:val="24"/>
          <w:szCs w:val="24"/>
        </w:rPr>
        <w:t xml:space="preserve"> е </w:t>
      </w:r>
      <w:proofErr w:type="spellStart"/>
      <w:r w:rsidR="00E10B73" w:rsidRPr="00F20C1F">
        <w:rPr>
          <w:rFonts w:ascii="Times New Roman" w:hAnsi="Times New Roman" w:cs="Times New Roman"/>
          <w:sz w:val="24"/>
          <w:szCs w:val="24"/>
        </w:rPr>
        <w:t>предимно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клинична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базираща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се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покриването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основни</w:t>
      </w:r>
      <w:proofErr w:type="spellEnd"/>
      <w:r w:rsidR="00E10B73" w:rsidRPr="00F20C1F">
        <w:rPr>
          <w:rFonts w:ascii="Times New Roman" w:hAnsi="Times New Roman" w:cs="Times New Roman"/>
          <w:sz w:val="24"/>
          <w:szCs w:val="24"/>
        </w:rPr>
        <w:t xml:space="preserve"> и </w:t>
      </w:r>
      <w:proofErr w:type="spellStart"/>
      <w:r w:rsidR="00E10B73" w:rsidRPr="00F20C1F">
        <w:rPr>
          <w:rFonts w:ascii="Times New Roman" w:hAnsi="Times New Roman" w:cs="Times New Roman"/>
          <w:sz w:val="24"/>
          <w:szCs w:val="24"/>
        </w:rPr>
        <w:t>второстепенни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критерии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може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да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бъде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потвърдена</w:t>
      </w:r>
      <w:proofErr w:type="spellEnd"/>
      <w:r w:rsidR="00E10B73" w:rsidRPr="00F20C1F">
        <w:rPr>
          <w:rFonts w:ascii="Times New Roman" w:hAnsi="Times New Roman" w:cs="Times New Roman"/>
          <w:sz w:val="24"/>
          <w:szCs w:val="24"/>
        </w:rPr>
        <w:t xml:space="preserve"> и </w:t>
      </w:r>
      <w:proofErr w:type="spellStart"/>
      <w:r w:rsidR="00E10B73" w:rsidRPr="00F20C1F">
        <w:rPr>
          <w:rFonts w:ascii="Times New Roman" w:hAnsi="Times New Roman" w:cs="Times New Roman"/>
          <w:sz w:val="24"/>
          <w:szCs w:val="24"/>
        </w:rPr>
        <w:t>молекулярно-генетично</w:t>
      </w:r>
      <w:proofErr w:type="spellEnd"/>
      <w:r w:rsidR="00E10B73" w:rsidRPr="00F20C1F">
        <w:rPr>
          <w:rFonts w:ascii="Times New Roman" w:hAnsi="Times New Roman" w:cs="Times New Roman"/>
          <w:sz w:val="24"/>
          <w:szCs w:val="24"/>
        </w:rPr>
        <w:t xml:space="preserve"> в </w:t>
      </w:r>
      <w:proofErr w:type="spellStart"/>
      <w:r w:rsidR="00E10B73" w:rsidRPr="00F20C1F">
        <w:rPr>
          <w:rFonts w:ascii="Times New Roman" w:hAnsi="Times New Roman" w:cs="Times New Roman"/>
          <w:sz w:val="24"/>
          <w:szCs w:val="24"/>
        </w:rPr>
        <w:t>около</w:t>
      </w:r>
      <w:proofErr w:type="spellEnd"/>
      <w:r w:rsidR="00E10B73" w:rsidRPr="00F20C1F">
        <w:rPr>
          <w:rFonts w:ascii="Times New Roman" w:hAnsi="Times New Roman" w:cs="Times New Roman"/>
          <w:sz w:val="24"/>
          <w:szCs w:val="24"/>
        </w:rPr>
        <w:t xml:space="preserve"> 80% </w:t>
      </w:r>
      <w:proofErr w:type="spellStart"/>
      <w:r w:rsidR="00E10B73" w:rsidRPr="00F20C1F">
        <w:rPr>
          <w:rFonts w:ascii="Times New Roman" w:hAnsi="Times New Roman" w:cs="Times New Roman"/>
          <w:sz w:val="24"/>
          <w:szCs w:val="24"/>
        </w:rPr>
        <w:t>от</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засегнатите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Важно</w:t>
      </w:r>
      <w:proofErr w:type="spellEnd"/>
      <w:r w:rsidR="00E10B73" w:rsidRPr="00F20C1F">
        <w:rPr>
          <w:rFonts w:ascii="Times New Roman" w:hAnsi="Times New Roman" w:cs="Times New Roman"/>
          <w:sz w:val="24"/>
          <w:szCs w:val="24"/>
        </w:rPr>
        <w:t xml:space="preserve"> е </w:t>
      </w:r>
      <w:proofErr w:type="spellStart"/>
      <w:r w:rsidR="00E10B73" w:rsidRPr="00F20C1F">
        <w:rPr>
          <w:rFonts w:ascii="Times New Roman" w:hAnsi="Times New Roman" w:cs="Times New Roman"/>
          <w:sz w:val="24"/>
          <w:szCs w:val="24"/>
        </w:rPr>
        <w:t>познаването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това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рядко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заболяване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тъй</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като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ранната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диагноза</w:t>
      </w:r>
      <w:proofErr w:type="spellEnd"/>
      <w:r w:rsidR="00E10B73" w:rsidRPr="00F20C1F">
        <w:rPr>
          <w:rFonts w:ascii="Times New Roman" w:hAnsi="Times New Roman" w:cs="Times New Roman"/>
          <w:sz w:val="24"/>
          <w:szCs w:val="24"/>
        </w:rPr>
        <w:t xml:space="preserve"> и </w:t>
      </w:r>
      <w:proofErr w:type="spellStart"/>
      <w:r w:rsidR="00E10B73" w:rsidRPr="00F20C1F">
        <w:rPr>
          <w:rFonts w:ascii="Times New Roman" w:hAnsi="Times New Roman" w:cs="Times New Roman"/>
          <w:sz w:val="24"/>
          <w:szCs w:val="24"/>
        </w:rPr>
        <w:t>мултидисциплинарният</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подход</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значително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биха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намалили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заболеваемостта</w:t>
      </w:r>
      <w:proofErr w:type="spellEnd"/>
      <w:r w:rsidR="00E10B73" w:rsidRPr="00F20C1F">
        <w:rPr>
          <w:rFonts w:ascii="Times New Roman" w:hAnsi="Times New Roman" w:cs="Times New Roman"/>
          <w:sz w:val="24"/>
          <w:szCs w:val="24"/>
        </w:rPr>
        <w:t xml:space="preserve"> и </w:t>
      </w:r>
      <w:proofErr w:type="spellStart"/>
      <w:r w:rsidR="00E10B73" w:rsidRPr="00F20C1F">
        <w:rPr>
          <w:rFonts w:ascii="Times New Roman" w:hAnsi="Times New Roman" w:cs="Times New Roman"/>
          <w:sz w:val="24"/>
          <w:szCs w:val="24"/>
        </w:rPr>
        <w:t>смъртността</w:t>
      </w:r>
      <w:proofErr w:type="spellEnd"/>
      <w:r w:rsidR="00E10B73" w:rsidRPr="00F20C1F">
        <w:rPr>
          <w:rFonts w:ascii="Times New Roman" w:hAnsi="Times New Roman" w:cs="Times New Roman"/>
          <w:sz w:val="24"/>
          <w:szCs w:val="24"/>
        </w:rPr>
        <w:t xml:space="preserve"> и </w:t>
      </w:r>
      <w:proofErr w:type="spellStart"/>
      <w:r w:rsidR="00E10B73" w:rsidRPr="00F20C1F">
        <w:rPr>
          <w:rFonts w:ascii="Times New Roman" w:hAnsi="Times New Roman" w:cs="Times New Roman"/>
          <w:sz w:val="24"/>
          <w:szCs w:val="24"/>
        </w:rPr>
        <w:t>са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от</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значение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за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достигане</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възможно</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най-голям</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потенциал</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при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децата</w:t>
      </w:r>
      <w:proofErr w:type="spellEnd"/>
      <w:r w:rsidR="00E10B73" w:rsidRPr="00F20C1F">
        <w:rPr>
          <w:rFonts w:ascii="Times New Roman" w:hAnsi="Times New Roman" w:cs="Times New Roman"/>
          <w:sz w:val="24"/>
          <w:szCs w:val="24"/>
        </w:rPr>
        <w:t xml:space="preserve"> с </w:t>
      </w:r>
      <w:proofErr w:type="spellStart"/>
      <w:r w:rsidR="00E10B73" w:rsidRPr="00F20C1F">
        <w:rPr>
          <w:rFonts w:ascii="Times New Roman" w:hAnsi="Times New Roman" w:cs="Times New Roman"/>
          <w:sz w:val="24"/>
          <w:szCs w:val="24"/>
        </w:rPr>
        <w:t>този</w:t>
      </w:r>
      <w:proofErr w:type="spellEnd"/>
      <w:r w:rsidR="00E10B73" w:rsidRPr="00F20C1F">
        <w:rPr>
          <w:rFonts w:ascii="Times New Roman" w:hAnsi="Times New Roman" w:cs="Times New Roman"/>
          <w:sz w:val="24"/>
          <w:szCs w:val="24"/>
        </w:rPr>
        <w:t xml:space="preserve"> </w:t>
      </w:r>
      <w:proofErr w:type="spellStart"/>
      <w:r w:rsidR="00E10B73" w:rsidRPr="00F20C1F">
        <w:rPr>
          <w:rFonts w:ascii="Times New Roman" w:hAnsi="Times New Roman" w:cs="Times New Roman"/>
          <w:sz w:val="24"/>
          <w:szCs w:val="24"/>
        </w:rPr>
        <w:t>синдром</w:t>
      </w:r>
      <w:proofErr w:type="spellEnd"/>
      <w:r w:rsidR="00E10B73" w:rsidRPr="00F20C1F">
        <w:rPr>
          <w:rFonts w:ascii="Times New Roman" w:hAnsi="Times New Roman" w:cs="Times New Roman"/>
          <w:sz w:val="24"/>
          <w:szCs w:val="24"/>
        </w:rPr>
        <w:t>.</w:t>
      </w:r>
    </w:p>
    <w:p w14:paraId="0BF0CA08" w14:textId="77777777" w:rsidR="00420191" w:rsidRPr="00F20C1F" w:rsidRDefault="00420191" w:rsidP="00420191">
      <w:pPr>
        <w:pStyle w:val="ListParagraph"/>
        <w:ind w:left="993"/>
        <w:jc w:val="both"/>
        <w:rPr>
          <w:rFonts w:ascii="Times New Roman" w:hAnsi="Times New Roman" w:cs="Times New Roman"/>
          <w:sz w:val="24"/>
          <w:szCs w:val="24"/>
          <w:lang w:val="bg-BG"/>
        </w:rPr>
      </w:pPr>
    </w:p>
    <w:bookmarkEnd w:id="4"/>
    <w:p w14:paraId="21C684FD" w14:textId="191E48C2" w:rsidR="00F86383" w:rsidRPr="00F20C1F" w:rsidRDefault="00F86383" w:rsidP="00420191">
      <w:pPr>
        <w:pStyle w:val="ListParagraph"/>
        <w:numPr>
          <w:ilvl w:val="1"/>
          <w:numId w:val="22"/>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E10B73" w:rsidRPr="00F20C1F">
        <w:rPr>
          <w:rFonts w:ascii="Times New Roman" w:hAnsi="Times New Roman" w:cs="Times New Roman"/>
          <w:sz w:val="24"/>
          <w:szCs w:val="24"/>
        </w:rPr>
        <w:t xml:space="preserve">Bardet-Biedl syndrome (BBS) is a rare autosomal recessive ciliopathy, characterized by clinical and genetic heterogeneity. We present a case of a five-year old girl, who had postaxial </w:t>
      </w:r>
      <w:r w:rsidR="00AE515C">
        <w:rPr>
          <w:rFonts w:ascii="Times New Roman" w:hAnsi="Times New Roman" w:cs="Times New Roman"/>
          <w:sz w:val="24"/>
          <w:szCs w:val="24"/>
        </w:rPr>
        <w:t>p</w:t>
      </w:r>
      <w:r w:rsidR="00E10B73" w:rsidRPr="00F20C1F">
        <w:rPr>
          <w:rFonts w:ascii="Times New Roman" w:hAnsi="Times New Roman" w:cs="Times New Roman"/>
          <w:sz w:val="24"/>
          <w:szCs w:val="24"/>
        </w:rPr>
        <w:t>olydactyly, developmental delay and obesity. Based on these symptoms, she was diagnosed with BBS and later it was confirmed by molecular genetic analysis. This case illustrates the gradual onset of the typical symptoms, which could cause difficulties and delay the diagnostic process. In most of the cases, it is a clinical diagnosis, based on the score of primary and secondary criteria, but it could be confirmed by a molecular genetic analysis in around 80% of the affected individuals. It is important to be informed of this rare genetic condition, because the early diagnosis and the multidisciplinary approach would significantly reduce the morbidity and mortality. Also, they would allow the children with BBS to reach their highest potential.</w:t>
      </w:r>
    </w:p>
    <w:p w14:paraId="0CB3DD81" w14:textId="77777777" w:rsidR="00420191" w:rsidRPr="00F20C1F" w:rsidRDefault="00420191" w:rsidP="00420191">
      <w:pPr>
        <w:pStyle w:val="ListParagraph"/>
        <w:rPr>
          <w:rFonts w:ascii="Times New Roman" w:hAnsi="Times New Roman" w:cs="Times New Roman"/>
          <w:sz w:val="24"/>
          <w:szCs w:val="24"/>
          <w:lang w:val="bg-BG"/>
        </w:rPr>
      </w:pPr>
    </w:p>
    <w:p w14:paraId="7A9FCA1D" w14:textId="053F0495" w:rsidR="00161774" w:rsidRPr="00AE515C" w:rsidRDefault="00E10B73" w:rsidP="00F86383">
      <w:pPr>
        <w:pStyle w:val="ListParagraph"/>
        <w:numPr>
          <w:ilvl w:val="0"/>
          <w:numId w:val="4"/>
        </w:numPr>
        <w:jc w:val="both"/>
        <w:rPr>
          <w:rFonts w:ascii="Times New Roman" w:hAnsi="Times New Roman" w:cs="Times New Roman"/>
          <w:sz w:val="24"/>
          <w:szCs w:val="24"/>
          <w:lang w:val="bg-BG"/>
        </w:rPr>
      </w:pPr>
      <w:r w:rsidRPr="00AE515C">
        <w:rPr>
          <w:rFonts w:ascii="Times New Roman" w:hAnsi="Times New Roman" w:cs="Times New Roman"/>
          <w:sz w:val="24"/>
          <w:szCs w:val="24"/>
        </w:rPr>
        <w:lastRenderedPageBreak/>
        <w:t xml:space="preserve">М. </w:t>
      </w:r>
      <w:proofErr w:type="spellStart"/>
      <w:r w:rsidRPr="00AE515C">
        <w:rPr>
          <w:rFonts w:ascii="Times New Roman" w:hAnsi="Times New Roman" w:cs="Times New Roman"/>
          <w:sz w:val="24"/>
          <w:szCs w:val="24"/>
        </w:rPr>
        <w:t>Хачмериян</w:t>
      </w:r>
      <w:proofErr w:type="spellEnd"/>
      <w:r w:rsidRPr="00AE515C">
        <w:rPr>
          <w:rFonts w:ascii="Times New Roman" w:hAnsi="Times New Roman" w:cs="Times New Roman"/>
          <w:sz w:val="24"/>
          <w:szCs w:val="24"/>
        </w:rPr>
        <w:t xml:space="preserve">, М. </w:t>
      </w:r>
      <w:proofErr w:type="spellStart"/>
      <w:r w:rsidRPr="00AE515C">
        <w:rPr>
          <w:rFonts w:ascii="Times New Roman" w:hAnsi="Times New Roman" w:cs="Times New Roman"/>
          <w:sz w:val="24"/>
          <w:szCs w:val="24"/>
        </w:rPr>
        <w:t>Стоянова</w:t>
      </w:r>
      <w:proofErr w:type="spellEnd"/>
      <w:r w:rsidRPr="00AE515C">
        <w:rPr>
          <w:rFonts w:ascii="Times New Roman" w:hAnsi="Times New Roman" w:cs="Times New Roman"/>
          <w:sz w:val="24"/>
          <w:szCs w:val="24"/>
        </w:rPr>
        <w:t xml:space="preserve">, </w:t>
      </w:r>
      <w:r w:rsidRPr="00AE515C">
        <w:rPr>
          <w:rFonts w:ascii="Times New Roman" w:hAnsi="Times New Roman" w:cs="Times New Roman"/>
          <w:b/>
          <w:bCs/>
          <w:sz w:val="24"/>
          <w:szCs w:val="24"/>
        </w:rPr>
        <w:t xml:space="preserve">М. </w:t>
      </w:r>
      <w:proofErr w:type="spellStart"/>
      <w:r w:rsidRPr="00AE515C">
        <w:rPr>
          <w:rFonts w:ascii="Times New Roman" w:hAnsi="Times New Roman" w:cs="Times New Roman"/>
          <w:b/>
          <w:bCs/>
          <w:sz w:val="24"/>
          <w:szCs w:val="24"/>
        </w:rPr>
        <w:t>Левкова</w:t>
      </w:r>
      <w:proofErr w:type="spellEnd"/>
      <w:r w:rsidRPr="00AE515C">
        <w:rPr>
          <w:rFonts w:ascii="Times New Roman" w:hAnsi="Times New Roman" w:cs="Times New Roman"/>
          <w:sz w:val="24"/>
          <w:szCs w:val="24"/>
        </w:rPr>
        <w:t xml:space="preserve">, С. </w:t>
      </w:r>
      <w:proofErr w:type="spellStart"/>
      <w:r w:rsidRPr="00AE515C">
        <w:rPr>
          <w:rFonts w:ascii="Times New Roman" w:hAnsi="Times New Roman" w:cs="Times New Roman"/>
          <w:sz w:val="24"/>
          <w:szCs w:val="24"/>
        </w:rPr>
        <w:t>Галчева</w:t>
      </w:r>
      <w:proofErr w:type="spellEnd"/>
      <w:r w:rsidRPr="00AE515C">
        <w:rPr>
          <w:rFonts w:ascii="Times New Roman" w:hAnsi="Times New Roman" w:cs="Times New Roman"/>
          <w:sz w:val="24"/>
          <w:szCs w:val="24"/>
        </w:rPr>
        <w:t xml:space="preserve">, Д. </w:t>
      </w:r>
      <w:proofErr w:type="spellStart"/>
      <w:r w:rsidRPr="00AE515C">
        <w:rPr>
          <w:rFonts w:ascii="Times New Roman" w:hAnsi="Times New Roman" w:cs="Times New Roman"/>
          <w:sz w:val="24"/>
          <w:szCs w:val="24"/>
        </w:rPr>
        <w:t>Авджиева</w:t>
      </w:r>
      <w:proofErr w:type="spellEnd"/>
      <w:r w:rsidRPr="00AE515C">
        <w:rPr>
          <w:rFonts w:ascii="Times New Roman" w:hAnsi="Times New Roman" w:cs="Times New Roman"/>
          <w:sz w:val="24"/>
          <w:szCs w:val="24"/>
        </w:rPr>
        <w:t xml:space="preserve">, Т. </w:t>
      </w:r>
      <w:proofErr w:type="spellStart"/>
      <w:r w:rsidRPr="00AE515C">
        <w:rPr>
          <w:rFonts w:ascii="Times New Roman" w:hAnsi="Times New Roman" w:cs="Times New Roman"/>
          <w:sz w:val="24"/>
          <w:szCs w:val="24"/>
        </w:rPr>
        <w:t>Делчев</w:t>
      </w:r>
      <w:proofErr w:type="spellEnd"/>
      <w:r w:rsidRPr="00AE515C">
        <w:rPr>
          <w:rFonts w:ascii="Times New Roman" w:hAnsi="Times New Roman" w:cs="Times New Roman"/>
          <w:sz w:val="24"/>
          <w:szCs w:val="24"/>
        </w:rPr>
        <w:t xml:space="preserve">, Й. </w:t>
      </w:r>
      <w:proofErr w:type="spellStart"/>
      <w:r w:rsidRPr="00AE515C">
        <w:rPr>
          <w:rFonts w:ascii="Times New Roman" w:hAnsi="Times New Roman" w:cs="Times New Roman"/>
          <w:sz w:val="24"/>
          <w:szCs w:val="24"/>
        </w:rPr>
        <w:t>Тихонова</w:t>
      </w:r>
      <w:proofErr w:type="spellEnd"/>
      <w:r w:rsidRPr="00AE515C">
        <w:rPr>
          <w:rFonts w:ascii="Times New Roman" w:hAnsi="Times New Roman" w:cs="Times New Roman"/>
          <w:sz w:val="24"/>
          <w:szCs w:val="24"/>
        </w:rPr>
        <w:t xml:space="preserve">, В. </w:t>
      </w:r>
      <w:proofErr w:type="spellStart"/>
      <w:r w:rsidRPr="00AE515C">
        <w:rPr>
          <w:rFonts w:ascii="Times New Roman" w:hAnsi="Times New Roman" w:cs="Times New Roman"/>
          <w:sz w:val="24"/>
          <w:szCs w:val="24"/>
        </w:rPr>
        <w:t>Йотова</w:t>
      </w:r>
      <w:proofErr w:type="spellEnd"/>
      <w:r w:rsidRPr="00AE515C">
        <w:rPr>
          <w:rFonts w:ascii="Times New Roman" w:hAnsi="Times New Roman" w:cs="Times New Roman"/>
          <w:sz w:val="24"/>
          <w:szCs w:val="24"/>
        </w:rPr>
        <w:t xml:space="preserve">, Л. </w:t>
      </w:r>
      <w:proofErr w:type="spellStart"/>
      <w:r w:rsidRPr="00AE515C">
        <w:rPr>
          <w:rFonts w:ascii="Times New Roman" w:hAnsi="Times New Roman" w:cs="Times New Roman"/>
          <w:sz w:val="24"/>
          <w:szCs w:val="24"/>
        </w:rPr>
        <w:t>Ангелова</w:t>
      </w:r>
      <w:proofErr w:type="spellEnd"/>
      <w:r w:rsidRPr="00AE515C">
        <w:rPr>
          <w:rFonts w:ascii="Times New Roman" w:hAnsi="Times New Roman" w:cs="Times New Roman"/>
          <w:sz w:val="24"/>
          <w:szCs w:val="24"/>
        </w:rPr>
        <w:t xml:space="preserve">. </w:t>
      </w:r>
      <w:proofErr w:type="spellStart"/>
      <w:r w:rsidRPr="00AE515C">
        <w:rPr>
          <w:rFonts w:ascii="Times New Roman" w:hAnsi="Times New Roman" w:cs="Times New Roman"/>
          <w:i/>
          <w:iCs/>
          <w:sz w:val="24"/>
          <w:szCs w:val="24"/>
        </w:rPr>
        <w:t>Синдром</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на</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Корнелия</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де</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Ланге</w:t>
      </w:r>
      <w:proofErr w:type="spellEnd"/>
      <w:r w:rsidRPr="00AE515C">
        <w:rPr>
          <w:rFonts w:ascii="Times New Roman" w:hAnsi="Times New Roman" w:cs="Times New Roman"/>
          <w:i/>
          <w:iCs/>
          <w:sz w:val="24"/>
          <w:szCs w:val="24"/>
        </w:rPr>
        <w:t xml:space="preserve"> – </w:t>
      </w:r>
      <w:proofErr w:type="spellStart"/>
      <w:r w:rsidRPr="00AE515C">
        <w:rPr>
          <w:rFonts w:ascii="Times New Roman" w:hAnsi="Times New Roman" w:cs="Times New Roman"/>
          <w:i/>
          <w:iCs/>
          <w:sz w:val="24"/>
          <w:szCs w:val="24"/>
        </w:rPr>
        <w:t>представяне</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на</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класически</w:t>
      </w:r>
      <w:proofErr w:type="spellEnd"/>
      <w:r w:rsidRPr="00AE515C">
        <w:rPr>
          <w:rFonts w:ascii="Times New Roman" w:hAnsi="Times New Roman" w:cs="Times New Roman"/>
          <w:i/>
          <w:iCs/>
          <w:sz w:val="24"/>
          <w:szCs w:val="24"/>
        </w:rPr>
        <w:t xml:space="preserve"> и </w:t>
      </w:r>
      <w:proofErr w:type="spellStart"/>
      <w:r w:rsidRPr="00AE515C">
        <w:rPr>
          <w:rFonts w:ascii="Times New Roman" w:hAnsi="Times New Roman" w:cs="Times New Roman"/>
          <w:i/>
          <w:iCs/>
          <w:sz w:val="24"/>
          <w:szCs w:val="24"/>
        </w:rPr>
        <w:t>некласически</w:t>
      </w:r>
      <w:proofErr w:type="spellEnd"/>
      <w:r w:rsidRPr="00AE515C">
        <w:rPr>
          <w:rFonts w:ascii="Times New Roman" w:hAnsi="Times New Roman" w:cs="Times New Roman"/>
          <w:i/>
          <w:iCs/>
          <w:sz w:val="24"/>
          <w:szCs w:val="24"/>
        </w:rPr>
        <w:t xml:space="preserve"> </w:t>
      </w:r>
      <w:proofErr w:type="spellStart"/>
      <w:r w:rsidRPr="00AE515C">
        <w:rPr>
          <w:rFonts w:ascii="Times New Roman" w:hAnsi="Times New Roman" w:cs="Times New Roman"/>
          <w:i/>
          <w:iCs/>
          <w:sz w:val="24"/>
          <w:szCs w:val="24"/>
        </w:rPr>
        <w:t>вариант</w:t>
      </w:r>
      <w:proofErr w:type="spellEnd"/>
      <w:r w:rsidRPr="00AE515C">
        <w:rPr>
          <w:rFonts w:ascii="Times New Roman" w:hAnsi="Times New Roman" w:cs="Times New Roman"/>
          <w:sz w:val="24"/>
          <w:szCs w:val="24"/>
        </w:rPr>
        <w:t xml:space="preserve">. </w:t>
      </w:r>
      <w:proofErr w:type="spellStart"/>
      <w:proofErr w:type="gramStart"/>
      <w:r w:rsidRPr="00AE515C">
        <w:rPr>
          <w:rFonts w:ascii="Times New Roman" w:hAnsi="Times New Roman" w:cs="Times New Roman"/>
          <w:sz w:val="24"/>
          <w:szCs w:val="24"/>
        </w:rPr>
        <w:t>сп.Педиатрия</w:t>
      </w:r>
      <w:proofErr w:type="spellEnd"/>
      <w:proofErr w:type="gramEnd"/>
      <w:r w:rsidRPr="00AE515C">
        <w:rPr>
          <w:rFonts w:ascii="Times New Roman" w:hAnsi="Times New Roman" w:cs="Times New Roman"/>
          <w:sz w:val="24"/>
          <w:szCs w:val="24"/>
        </w:rPr>
        <w:t xml:space="preserve">, 2020, </w:t>
      </w:r>
      <w:proofErr w:type="spellStart"/>
      <w:r w:rsidRPr="00AE515C">
        <w:rPr>
          <w:rFonts w:ascii="Times New Roman" w:hAnsi="Times New Roman" w:cs="Times New Roman"/>
          <w:sz w:val="24"/>
          <w:szCs w:val="24"/>
        </w:rPr>
        <w:t>бр</w:t>
      </w:r>
      <w:proofErr w:type="spellEnd"/>
      <w:r w:rsidRPr="00AE515C">
        <w:rPr>
          <w:rFonts w:ascii="Times New Roman" w:hAnsi="Times New Roman" w:cs="Times New Roman"/>
          <w:sz w:val="24"/>
          <w:szCs w:val="24"/>
        </w:rPr>
        <w:t xml:space="preserve">. 4 </w:t>
      </w:r>
      <w:proofErr w:type="spellStart"/>
      <w:r w:rsidRPr="00AE515C">
        <w:rPr>
          <w:rFonts w:ascii="Times New Roman" w:hAnsi="Times New Roman" w:cs="Times New Roman"/>
          <w:sz w:val="24"/>
          <w:szCs w:val="24"/>
        </w:rPr>
        <w:t>стр</w:t>
      </w:r>
      <w:proofErr w:type="spellEnd"/>
      <w:r w:rsidRPr="00AE515C">
        <w:rPr>
          <w:rFonts w:ascii="Times New Roman" w:hAnsi="Times New Roman" w:cs="Times New Roman"/>
          <w:sz w:val="24"/>
          <w:szCs w:val="24"/>
        </w:rPr>
        <w:t>. 2- 5 Q4</w:t>
      </w:r>
    </w:p>
    <w:p w14:paraId="0F09E3DA" w14:textId="10990756" w:rsidR="00837856" w:rsidRPr="00F20C1F" w:rsidRDefault="00F86383" w:rsidP="00420191">
      <w:pPr>
        <w:pStyle w:val="ListParagraph"/>
        <w:numPr>
          <w:ilvl w:val="1"/>
          <w:numId w:val="21"/>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5" w:name="_Hlk144324924"/>
      <w:r w:rsidR="00E10B73" w:rsidRPr="00F20C1F">
        <w:rPr>
          <w:rFonts w:ascii="Times New Roman" w:hAnsi="Times New Roman" w:cs="Times New Roman"/>
          <w:sz w:val="24"/>
          <w:szCs w:val="24"/>
          <w:lang w:val="bg-BG"/>
        </w:rPr>
        <w:t>Синдромът на Корнелия де Лангe е рядко генетично заболяване от групата на кохезинопатиите, характеризиращо се с клинична и генетична хетерогенност, поради което често поставянето на точна диагноза, особено в случаи с дискретен фенотип, е затруднено. Представяме двама пациенти, които демонстрират широкия фенотипен спектър на синдрома. Оценката на клиничната изява в двата случая е базирана на първия официално публикуван интернационален консенсус за диагностичните критерии при синдром на Корнелия де Ланге, който класифицира клиничните белези в две групи - основни (считани за най-характерни) и насочващи. Диагностицирането на рядко генетично заболяване дори и с добре познат дисморфизъм поражда затруднения. Представените клинични случаи акцентират върху необходимостта активно да се използва инструментариума на интернационалния консенсус за синдром на Корнелия де Ланге дори в случаи с дискретен фенотип.</w:t>
      </w:r>
      <w:r w:rsidR="00E10B73" w:rsidRPr="00F20C1F">
        <w:rPr>
          <w:rFonts w:ascii="Times New Roman" w:hAnsi="Times New Roman" w:cs="Times New Roman"/>
          <w:b/>
          <w:bCs/>
          <w:sz w:val="24"/>
          <w:szCs w:val="24"/>
          <w:lang w:val="bg-BG"/>
        </w:rPr>
        <w:t xml:space="preserve">  </w:t>
      </w:r>
      <w:bookmarkEnd w:id="5"/>
    </w:p>
    <w:p w14:paraId="43992F38" w14:textId="77777777" w:rsidR="00420191" w:rsidRPr="00F20C1F" w:rsidRDefault="00420191" w:rsidP="00420191">
      <w:pPr>
        <w:pStyle w:val="ListParagraph"/>
        <w:ind w:left="993"/>
        <w:jc w:val="both"/>
        <w:rPr>
          <w:rFonts w:ascii="Times New Roman" w:hAnsi="Times New Roman" w:cs="Times New Roman"/>
          <w:sz w:val="24"/>
          <w:szCs w:val="24"/>
          <w:lang w:val="bg-BG"/>
        </w:rPr>
      </w:pPr>
    </w:p>
    <w:p w14:paraId="5986C0F5" w14:textId="7E8B8751" w:rsidR="00F86383" w:rsidRPr="00F20C1F" w:rsidRDefault="00F86383" w:rsidP="00420191">
      <w:pPr>
        <w:pStyle w:val="ListParagraph"/>
        <w:numPr>
          <w:ilvl w:val="1"/>
          <w:numId w:val="21"/>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E10B73" w:rsidRPr="00F20C1F">
        <w:rPr>
          <w:rFonts w:ascii="Times New Roman" w:hAnsi="Times New Roman" w:cs="Times New Roman"/>
          <w:sz w:val="24"/>
          <w:szCs w:val="24"/>
          <w:lang w:val="bg-BG"/>
        </w:rPr>
        <w:t xml:space="preserve">Cornelia de Lange syndrome is a rare genetic disorder, a cohesinopathy characterized by clinical and genetic heterogeneity, which makes an accurate diagnosis difficult, especially in cases with a discrete phenotype. We present two patients, who demonstrate a broad phenotypic spectrum of the syndrome. Clinical score in both cases is based on the first officially published consensus statement for Diagnosis and management of Cornelia de Lange syndrome, which classifies clinical features into two groups - cardinal features and suggestive. Diagnosis of a rare genetic disease, even with well-known dysmorphism, could be difficult. The two clinical cases emphasize on the need of </w:t>
      </w:r>
      <w:r w:rsidR="00AE515C">
        <w:rPr>
          <w:rFonts w:ascii="Times New Roman" w:hAnsi="Times New Roman" w:cs="Times New Roman"/>
          <w:sz w:val="24"/>
          <w:szCs w:val="24"/>
        </w:rPr>
        <w:t xml:space="preserve">applying the </w:t>
      </w:r>
      <w:r w:rsidR="00AE515C" w:rsidRPr="00F20C1F">
        <w:rPr>
          <w:rFonts w:ascii="Times New Roman" w:hAnsi="Times New Roman" w:cs="Times New Roman"/>
          <w:sz w:val="24"/>
          <w:szCs w:val="24"/>
          <w:lang w:val="bg-BG"/>
        </w:rPr>
        <w:t>published consensus statement</w:t>
      </w:r>
      <w:r w:rsidR="00AE515C">
        <w:rPr>
          <w:rFonts w:ascii="Times New Roman" w:hAnsi="Times New Roman" w:cs="Times New Roman"/>
          <w:sz w:val="24"/>
          <w:szCs w:val="24"/>
        </w:rPr>
        <w:t xml:space="preserve"> </w:t>
      </w:r>
      <w:r w:rsidR="00AE515C" w:rsidRPr="00F20C1F">
        <w:rPr>
          <w:rFonts w:ascii="Times New Roman" w:hAnsi="Times New Roman" w:cs="Times New Roman"/>
          <w:sz w:val="24"/>
          <w:szCs w:val="24"/>
          <w:lang w:val="bg-BG"/>
        </w:rPr>
        <w:t>for Diagnosis and management of Cornelia de Lange syndrome</w:t>
      </w:r>
      <w:r w:rsidR="00E10B73" w:rsidRPr="00F20C1F">
        <w:rPr>
          <w:rFonts w:ascii="Times New Roman" w:hAnsi="Times New Roman" w:cs="Times New Roman"/>
          <w:sz w:val="24"/>
          <w:szCs w:val="24"/>
          <w:lang w:val="bg-BG"/>
        </w:rPr>
        <w:t xml:space="preserve"> even in cases with a discrete phenotype.</w:t>
      </w:r>
    </w:p>
    <w:p w14:paraId="20ADE54D" w14:textId="77777777" w:rsidR="00420191" w:rsidRPr="00F20C1F" w:rsidRDefault="00420191" w:rsidP="00420191">
      <w:pPr>
        <w:pStyle w:val="ListParagraph"/>
        <w:rPr>
          <w:rFonts w:ascii="Times New Roman" w:hAnsi="Times New Roman" w:cs="Times New Roman"/>
          <w:sz w:val="24"/>
          <w:szCs w:val="24"/>
          <w:lang w:val="bg-BG"/>
        </w:rPr>
      </w:pPr>
    </w:p>
    <w:p w14:paraId="5F19BA5C" w14:textId="4A96C06C" w:rsidR="00161774" w:rsidRPr="00AF791A" w:rsidRDefault="00E10B73" w:rsidP="00F86383">
      <w:pPr>
        <w:pStyle w:val="ListParagraph"/>
        <w:numPr>
          <w:ilvl w:val="0"/>
          <w:numId w:val="4"/>
        </w:numPr>
        <w:jc w:val="both"/>
        <w:rPr>
          <w:rFonts w:ascii="Times New Roman" w:hAnsi="Times New Roman" w:cs="Times New Roman"/>
          <w:sz w:val="24"/>
          <w:szCs w:val="24"/>
          <w:lang w:val="bg-BG"/>
        </w:rPr>
      </w:pPr>
      <w:r w:rsidRPr="00AF791A">
        <w:rPr>
          <w:rFonts w:ascii="Times New Roman" w:hAnsi="Times New Roman" w:cs="Times New Roman"/>
          <w:b/>
          <w:bCs/>
          <w:sz w:val="24"/>
          <w:szCs w:val="24"/>
          <w:lang w:val="bg-BG"/>
        </w:rPr>
        <w:t>Levkova, M.</w:t>
      </w:r>
      <w:r w:rsidRPr="00AF791A">
        <w:rPr>
          <w:rFonts w:ascii="Times New Roman" w:hAnsi="Times New Roman" w:cs="Times New Roman"/>
          <w:sz w:val="24"/>
          <w:szCs w:val="24"/>
          <w:lang w:val="bg-BG"/>
        </w:rPr>
        <w:t xml:space="preserve">, Stoyanova, M., Staneva, R., Hachmeriyan, M.,  Angelova, L. (2021). </w:t>
      </w:r>
      <w:r w:rsidRPr="00AF791A">
        <w:rPr>
          <w:rFonts w:ascii="Times New Roman" w:hAnsi="Times New Roman" w:cs="Times New Roman"/>
          <w:i/>
          <w:iCs/>
          <w:sz w:val="24"/>
          <w:szCs w:val="24"/>
          <w:lang w:val="bg-BG"/>
        </w:rPr>
        <w:t>16p11. 2 Duplication Syndrome-a Case Report</w:t>
      </w:r>
      <w:r w:rsidRPr="00AF791A">
        <w:rPr>
          <w:rFonts w:ascii="Times New Roman" w:hAnsi="Times New Roman" w:cs="Times New Roman"/>
          <w:sz w:val="24"/>
          <w:szCs w:val="24"/>
          <w:lang w:val="bg-BG"/>
        </w:rPr>
        <w:t>. Folia Medica, 63, 138. Q4</w:t>
      </w:r>
    </w:p>
    <w:p w14:paraId="623CCCD3" w14:textId="47193E0A" w:rsidR="006B330A" w:rsidRPr="00F20C1F" w:rsidRDefault="00F86383" w:rsidP="00420191">
      <w:pPr>
        <w:pStyle w:val="ListParagraph"/>
        <w:numPr>
          <w:ilvl w:val="1"/>
          <w:numId w:val="20"/>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6" w:name="_Hlk144324961"/>
      <w:r w:rsidR="00AF791A" w:rsidRPr="00F20C1F">
        <w:rPr>
          <w:rFonts w:ascii="Times New Roman" w:hAnsi="Times New Roman" w:cs="Times New Roman"/>
          <w:sz w:val="24"/>
          <w:szCs w:val="24"/>
          <w:lang w:val="bg-BG"/>
        </w:rPr>
        <w:t xml:space="preserve">16p11.2 </w:t>
      </w:r>
      <w:r w:rsidR="00AF791A">
        <w:rPr>
          <w:rFonts w:ascii="Times New Roman" w:hAnsi="Times New Roman" w:cs="Times New Roman"/>
          <w:sz w:val="24"/>
          <w:szCs w:val="24"/>
          <w:lang w:val="bg-BG"/>
        </w:rPr>
        <w:t>дупликация с</w:t>
      </w:r>
      <w:r w:rsidR="00420191" w:rsidRPr="00F20C1F">
        <w:rPr>
          <w:rFonts w:ascii="Times New Roman" w:hAnsi="Times New Roman" w:cs="Times New Roman"/>
          <w:sz w:val="24"/>
          <w:szCs w:val="24"/>
          <w:lang w:val="bg-BG"/>
        </w:rPr>
        <w:t>индромът е рядко срещано заболяване, което често се свързва с интелектуална недостатъчност, дефицит на вниманието, хиперактивност и предразположение към епилепсия и шизофрения. За това генетично заболяване няма специфични дисморфични характеристики, но може да се наблюдават микроцефалия, микрогнатия и хипертелоризъм. Съобщаваме за случай на 16p11.2</w:t>
      </w:r>
      <w:r w:rsidR="00AF791A">
        <w:rPr>
          <w:rFonts w:ascii="Times New Roman" w:hAnsi="Times New Roman" w:cs="Times New Roman"/>
          <w:sz w:val="24"/>
          <w:szCs w:val="24"/>
          <w:lang w:val="bg-BG"/>
        </w:rPr>
        <w:t xml:space="preserve"> </w:t>
      </w:r>
      <w:r w:rsidR="00AF791A" w:rsidRPr="00F20C1F">
        <w:rPr>
          <w:rFonts w:ascii="Times New Roman" w:hAnsi="Times New Roman" w:cs="Times New Roman"/>
          <w:sz w:val="24"/>
          <w:szCs w:val="24"/>
          <w:lang w:val="bg-BG"/>
        </w:rPr>
        <w:t>дупликация синдром</w:t>
      </w:r>
      <w:r w:rsidR="00420191" w:rsidRPr="00F20C1F">
        <w:rPr>
          <w:rFonts w:ascii="Times New Roman" w:hAnsi="Times New Roman" w:cs="Times New Roman"/>
          <w:sz w:val="24"/>
          <w:szCs w:val="24"/>
          <w:lang w:val="bg-BG"/>
        </w:rPr>
        <w:t xml:space="preserve">, който има типичната клинична картина - лек лицев дисморфизъм, нарушено интелектуално развитие и аутистично поведение. Извършено е </w:t>
      </w:r>
      <w:r w:rsidR="00AF791A">
        <w:rPr>
          <w:rFonts w:ascii="Times New Roman" w:hAnsi="Times New Roman" w:cs="Times New Roman"/>
          <w:sz w:val="24"/>
          <w:szCs w:val="24"/>
          <w:lang w:val="bg-BG"/>
        </w:rPr>
        <w:t xml:space="preserve">целоекзомно </w:t>
      </w:r>
      <w:r w:rsidR="00420191" w:rsidRPr="00F20C1F">
        <w:rPr>
          <w:rFonts w:ascii="Times New Roman" w:hAnsi="Times New Roman" w:cs="Times New Roman"/>
          <w:sz w:val="24"/>
          <w:szCs w:val="24"/>
          <w:lang w:val="bg-BG"/>
        </w:rPr>
        <w:t xml:space="preserve">секвениране, но не са идентифицирани патогенни или вероятно патогенни мутации. Анализът </w:t>
      </w:r>
      <w:r w:rsidR="00AF791A">
        <w:rPr>
          <w:rFonts w:ascii="Times New Roman" w:hAnsi="Times New Roman" w:cs="Times New Roman"/>
          <w:sz w:val="24"/>
          <w:szCs w:val="24"/>
          <w:lang w:val="bg-BG"/>
        </w:rPr>
        <w:t>чрез</w:t>
      </w:r>
      <w:r w:rsidR="00420191" w:rsidRPr="00F20C1F">
        <w:rPr>
          <w:rFonts w:ascii="Times New Roman" w:hAnsi="Times New Roman" w:cs="Times New Roman"/>
          <w:sz w:val="24"/>
          <w:szCs w:val="24"/>
          <w:lang w:val="bg-BG"/>
        </w:rPr>
        <w:t xml:space="preserve"> сравнителна геномна хибридизация установява диагнозата </w:t>
      </w:r>
      <w:r w:rsidR="00AF791A" w:rsidRPr="00F20C1F">
        <w:rPr>
          <w:rFonts w:ascii="Times New Roman" w:hAnsi="Times New Roman" w:cs="Times New Roman"/>
          <w:sz w:val="24"/>
          <w:szCs w:val="24"/>
          <w:lang w:val="bg-BG"/>
        </w:rPr>
        <w:t>16p11.2</w:t>
      </w:r>
      <w:r w:rsidR="00AF791A">
        <w:rPr>
          <w:rFonts w:ascii="Times New Roman" w:hAnsi="Times New Roman" w:cs="Times New Roman"/>
          <w:sz w:val="24"/>
          <w:szCs w:val="24"/>
          <w:lang w:val="bg-BG"/>
        </w:rPr>
        <w:t xml:space="preserve"> </w:t>
      </w:r>
      <w:r w:rsidR="00AF791A" w:rsidRPr="00F20C1F">
        <w:rPr>
          <w:rFonts w:ascii="Times New Roman" w:hAnsi="Times New Roman" w:cs="Times New Roman"/>
          <w:sz w:val="24"/>
          <w:szCs w:val="24"/>
          <w:lang w:val="bg-BG"/>
        </w:rPr>
        <w:t>дупликация синдром</w:t>
      </w:r>
      <w:r w:rsidR="00420191" w:rsidRPr="00F20C1F">
        <w:rPr>
          <w:rFonts w:ascii="Times New Roman" w:hAnsi="Times New Roman" w:cs="Times New Roman"/>
          <w:sz w:val="24"/>
          <w:szCs w:val="24"/>
          <w:lang w:val="bg-BG"/>
        </w:rPr>
        <w:t>, което показва важността на този метод при диагностицирането на деца с необясним интелектуал</w:t>
      </w:r>
      <w:r w:rsidR="00AF791A">
        <w:rPr>
          <w:rFonts w:ascii="Times New Roman" w:hAnsi="Times New Roman" w:cs="Times New Roman"/>
          <w:sz w:val="24"/>
          <w:szCs w:val="24"/>
          <w:lang w:val="bg-BG"/>
        </w:rPr>
        <w:t>ен</w:t>
      </w:r>
      <w:r w:rsidR="00420191" w:rsidRPr="00F20C1F">
        <w:rPr>
          <w:rFonts w:ascii="Times New Roman" w:hAnsi="Times New Roman" w:cs="Times New Roman"/>
          <w:sz w:val="24"/>
          <w:szCs w:val="24"/>
          <w:lang w:val="bg-BG"/>
        </w:rPr>
        <w:t xml:space="preserve"> </w:t>
      </w:r>
      <w:r w:rsidR="00AF791A">
        <w:rPr>
          <w:rFonts w:ascii="Times New Roman" w:hAnsi="Times New Roman" w:cs="Times New Roman"/>
          <w:sz w:val="24"/>
          <w:szCs w:val="24"/>
          <w:lang w:val="bg-BG"/>
        </w:rPr>
        <w:t>дефицит</w:t>
      </w:r>
      <w:r w:rsidR="00420191" w:rsidRPr="00F20C1F">
        <w:rPr>
          <w:rFonts w:ascii="Times New Roman" w:hAnsi="Times New Roman" w:cs="Times New Roman"/>
          <w:sz w:val="24"/>
          <w:szCs w:val="24"/>
          <w:lang w:val="bg-BG"/>
        </w:rPr>
        <w:t>.</w:t>
      </w:r>
    </w:p>
    <w:p w14:paraId="7C22FF62" w14:textId="77777777" w:rsidR="00420191" w:rsidRPr="00F20C1F" w:rsidRDefault="00420191" w:rsidP="00420191">
      <w:pPr>
        <w:pStyle w:val="ListParagraph"/>
        <w:ind w:left="993"/>
        <w:jc w:val="both"/>
        <w:rPr>
          <w:rFonts w:ascii="Times New Roman" w:hAnsi="Times New Roman" w:cs="Times New Roman"/>
          <w:sz w:val="24"/>
          <w:szCs w:val="24"/>
          <w:lang w:val="bg-BG"/>
        </w:rPr>
      </w:pPr>
    </w:p>
    <w:bookmarkEnd w:id="6"/>
    <w:p w14:paraId="1BC448EF" w14:textId="3BDC8F91" w:rsidR="00F86383" w:rsidRPr="00F20C1F" w:rsidRDefault="00F86383" w:rsidP="00420191">
      <w:pPr>
        <w:pStyle w:val="ListParagraph"/>
        <w:numPr>
          <w:ilvl w:val="1"/>
          <w:numId w:val="20"/>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lastRenderedPageBreak/>
        <w:t>Abstract:</w:t>
      </w:r>
      <w:r w:rsidRPr="00F20C1F">
        <w:rPr>
          <w:rFonts w:ascii="Times New Roman" w:hAnsi="Times New Roman" w:cs="Times New Roman"/>
          <w:b/>
          <w:bCs/>
          <w:sz w:val="24"/>
          <w:szCs w:val="24"/>
          <w:lang w:val="bg-BG"/>
        </w:rPr>
        <w:t xml:space="preserve"> </w:t>
      </w:r>
      <w:r w:rsidR="00E10B73" w:rsidRPr="00F20C1F">
        <w:rPr>
          <w:rFonts w:ascii="Times New Roman" w:hAnsi="Times New Roman" w:cs="Times New Roman"/>
          <w:sz w:val="24"/>
          <w:szCs w:val="24"/>
        </w:rPr>
        <w:t>1</w:t>
      </w:r>
      <w:r w:rsidR="00E10B73" w:rsidRPr="00F20C1F">
        <w:rPr>
          <w:rFonts w:ascii="Times New Roman" w:hAnsi="Times New Roman" w:cs="Times New Roman"/>
          <w:sz w:val="24"/>
          <w:szCs w:val="24"/>
          <w:lang w:val="bg-BG"/>
        </w:rPr>
        <w:t xml:space="preserve">6p11.2 duplication syndrome is a rare disorder, often associated with intellectual disability, attention deficit, hyperactivity disorder, and a predisposition to epilepsy and schizophrenia. There are no specific dysmorphic features for this genetic condition, but microcephaly, micrognathia and hypertelorism could be present. We report a case of 16p11.2 duplication syndrome which has the typical clinical presentation – slight facial dysmorphism, impaired intellectual development, and autistic behavior. Whole-exome sequencing was performed, but no pathogenic or likely pathogenic mutations were identified. Array comparative genomic hybridization analysis established the diagnosis of 16p11.2 duplication syndrome, which illustrates the importance of this method when diagnosing children with unexplained intellectual disability. </w:t>
      </w:r>
    </w:p>
    <w:p w14:paraId="07B470D8" w14:textId="77777777" w:rsidR="00420191" w:rsidRPr="00F20C1F" w:rsidRDefault="00420191" w:rsidP="00420191">
      <w:pPr>
        <w:pStyle w:val="ListParagraph"/>
        <w:rPr>
          <w:rFonts w:ascii="Times New Roman" w:hAnsi="Times New Roman" w:cs="Times New Roman"/>
          <w:sz w:val="24"/>
          <w:szCs w:val="24"/>
          <w:lang w:val="bg-BG"/>
        </w:rPr>
      </w:pPr>
    </w:p>
    <w:p w14:paraId="0DACFFD0" w14:textId="513801D3" w:rsidR="00161774" w:rsidRPr="008221F9" w:rsidRDefault="00E10B73" w:rsidP="00F86383">
      <w:pPr>
        <w:pStyle w:val="ListParagraph"/>
        <w:numPr>
          <w:ilvl w:val="0"/>
          <w:numId w:val="4"/>
        </w:numPr>
        <w:jc w:val="both"/>
        <w:rPr>
          <w:rFonts w:ascii="Times New Roman" w:hAnsi="Times New Roman" w:cs="Times New Roman"/>
          <w:sz w:val="24"/>
          <w:szCs w:val="24"/>
          <w:lang w:val="bg-BG"/>
        </w:rPr>
      </w:pPr>
      <w:r w:rsidRPr="008221F9">
        <w:rPr>
          <w:rFonts w:ascii="Times New Roman" w:hAnsi="Times New Roman" w:cs="Times New Roman"/>
          <w:sz w:val="24"/>
          <w:szCs w:val="24"/>
          <w:lang w:val="bg-BG"/>
        </w:rPr>
        <w:t xml:space="preserve">M. Stoyanova, M. Hachmeriyan, </w:t>
      </w:r>
      <w:r w:rsidRPr="008221F9">
        <w:rPr>
          <w:rFonts w:ascii="Times New Roman" w:hAnsi="Times New Roman" w:cs="Times New Roman"/>
          <w:b/>
          <w:bCs/>
          <w:sz w:val="24"/>
          <w:szCs w:val="24"/>
          <w:lang w:val="bg-BG"/>
        </w:rPr>
        <w:t>M. Levkova</w:t>
      </w:r>
      <w:r w:rsidRPr="008221F9">
        <w:rPr>
          <w:rFonts w:ascii="Times New Roman" w:hAnsi="Times New Roman" w:cs="Times New Roman"/>
          <w:sz w:val="24"/>
          <w:szCs w:val="24"/>
          <w:lang w:val="bg-BG"/>
        </w:rPr>
        <w:t>, S. Bichev, M. Georgieva, V. Mladenov, L. Angelova. Molecular screening for Fragile X among children with unexplained intellectual disability and/or autistic behavior.  Folia Medica, 64, no. 1 (2022): 27-32. Q4</w:t>
      </w:r>
    </w:p>
    <w:p w14:paraId="74A7145A" w14:textId="309B869E" w:rsidR="00162D70" w:rsidRDefault="00F86383" w:rsidP="00420191">
      <w:pPr>
        <w:pStyle w:val="ListParagraph"/>
        <w:numPr>
          <w:ilvl w:val="1"/>
          <w:numId w:val="19"/>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r w:rsidR="00420191" w:rsidRPr="00F20C1F">
        <w:rPr>
          <w:rFonts w:ascii="Times New Roman" w:hAnsi="Times New Roman" w:cs="Times New Roman"/>
          <w:sz w:val="24"/>
          <w:szCs w:val="24"/>
          <w:lang w:val="bg-BG"/>
        </w:rPr>
        <w:t xml:space="preserve">Въведение: </w:t>
      </w:r>
      <w:bookmarkStart w:id="7" w:name="_Hlk144324992"/>
      <w:r w:rsidR="00420191" w:rsidRPr="00F20C1F">
        <w:rPr>
          <w:rFonts w:ascii="Times New Roman" w:hAnsi="Times New Roman" w:cs="Times New Roman"/>
          <w:sz w:val="24"/>
          <w:szCs w:val="24"/>
          <w:lang w:val="bg-BG"/>
        </w:rPr>
        <w:t xml:space="preserve">Синдромът на чупливата Х (FXS, OMIM #300624) е най-често срещаната наследствена форма на </w:t>
      </w:r>
      <w:r w:rsidR="008221F9">
        <w:rPr>
          <w:rFonts w:ascii="Times New Roman" w:hAnsi="Times New Roman" w:cs="Times New Roman"/>
          <w:sz w:val="24"/>
          <w:szCs w:val="24"/>
          <w:lang w:val="bg-BG"/>
        </w:rPr>
        <w:t>интелектуален дефицит</w:t>
      </w:r>
      <w:r w:rsidR="00420191" w:rsidRPr="00F20C1F">
        <w:rPr>
          <w:rFonts w:ascii="Times New Roman" w:hAnsi="Times New Roman" w:cs="Times New Roman"/>
          <w:sz w:val="24"/>
          <w:szCs w:val="24"/>
          <w:lang w:val="bg-BG"/>
        </w:rPr>
        <w:t xml:space="preserve"> и водещата моногенна причина за аутизъм. Цел: Да представим нашия опит със селективен скрининг за FXS сред високорискови деца с интелектуална недостатъчност/забавяне в развитието/аутистично поведение и да докажем допълнително значението на провеждането на селективен скрининг при високорискова популация. Материали и методи: Петдесет и две деца (45 момчета и 7 момичета), хоспитализирани в педиатрични клиники или насочени към </w:t>
      </w:r>
      <w:r w:rsidR="008221F9">
        <w:rPr>
          <w:rFonts w:ascii="Times New Roman" w:hAnsi="Times New Roman" w:cs="Times New Roman"/>
          <w:sz w:val="24"/>
          <w:szCs w:val="24"/>
          <w:lang w:val="bg-BG"/>
        </w:rPr>
        <w:t>кабинета</w:t>
      </w:r>
      <w:r w:rsidR="00420191" w:rsidRPr="00F20C1F">
        <w:rPr>
          <w:rFonts w:ascii="Times New Roman" w:hAnsi="Times New Roman" w:cs="Times New Roman"/>
          <w:sz w:val="24"/>
          <w:szCs w:val="24"/>
          <w:lang w:val="bg-BG"/>
        </w:rPr>
        <w:t xml:space="preserve"> за генетично консултиране, бяха изследвани с търговски </w:t>
      </w:r>
      <w:r w:rsidR="008221F9">
        <w:rPr>
          <w:rFonts w:ascii="Times New Roman" w:hAnsi="Times New Roman" w:cs="Times New Roman"/>
          <w:sz w:val="24"/>
          <w:szCs w:val="24"/>
          <w:lang w:val="bg-BG"/>
        </w:rPr>
        <w:t>кит</w:t>
      </w:r>
      <w:r w:rsidR="00420191" w:rsidRPr="00F20C1F">
        <w:rPr>
          <w:rFonts w:ascii="Times New Roman" w:hAnsi="Times New Roman" w:cs="Times New Roman"/>
          <w:sz w:val="24"/>
          <w:szCs w:val="24"/>
          <w:lang w:val="bg-BG"/>
        </w:rPr>
        <w:t xml:space="preserve">, базиран на PCR </w:t>
      </w:r>
      <w:r w:rsidR="008221F9">
        <w:rPr>
          <w:rFonts w:ascii="Times New Roman" w:hAnsi="Times New Roman" w:cs="Times New Roman"/>
          <w:sz w:val="24"/>
          <w:szCs w:val="24"/>
          <w:lang w:val="bg-BG"/>
        </w:rPr>
        <w:t>за търсене на тринуклеотидини повтори</w:t>
      </w:r>
      <w:r w:rsidR="00420191" w:rsidRPr="00F20C1F">
        <w:rPr>
          <w:rFonts w:ascii="Times New Roman" w:hAnsi="Times New Roman" w:cs="Times New Roman"/>
          <w:sz w:val="24"/>
          <w:szCs w:val="24"/>
          <w:lang w:val="bg-BG"/>
        </w:rPr>
        <w:t>. Средната възраст на участниците беше 6 години (най-малкият беше на 2 години, а най-възрастният - на 15 години). Тези пациенти са избрани въз основа на наличието на поне една от следните клинични характеристики: забавяне на развитието, интелектуал</w:t>
      </w:r>
      <w:r w:rsidR="008221F9">
        <w:rPr>
          <w:rFonts w:ascii="Times New Roman" w:hAnsi="Times New Roman" w:cs="Times New Roman"/>
          <w:sz w:val="24"/>
          <w:szCs w:val="24"/>
          <w:lang w:val="bg-BG"/>
        </w:rPr>
        <w:t>ен дефицит</w:t>
      </w:r>
      <w:r w:rsidR="00420191" w:rsidRPr="00F20C1F">
        <w:rPr>
          <w:rFonts w:ascii="Times New Roman" w:hAnsi="Times New Roman" w:cs="Times New Roman"/>
          <w:sz w:val="24"/>
          <w:szCs w:val="24"/>
          <w:lang w:val="bg-BG"/>
        </w:rPr>
        <w:t xml:space="preserve"> и аутистично поведение. Резултати: Всички пациенти имат забавяне в развитието, включително езиково забавяне. Интелектуалн</w:t>
      </w:r>
      <w:r w:rsidR="008221F9">
        <w:rPr>
          <w:rFonts w:ascii="Times New Roman" w:hAnsi="Times New Roman" w:cs="Times New Roman"/>
          <w:sz w:val="24"/>
          <w:szCs w:val="24"/>
          <w:lang w:val="bg-BG"/>
        </w:rPr>
        <w:t>ият дефицит</w:t>
      </w:r>
      <w:r w:rsidR="00420191" w:rsidRPr="00F20C1F">
        <w:rPr>
          <w:rFonts w:ascii="Times New Roman" w:hAnsi="Times New Roman" w:cs="Times New Roman"/>
          <w:sz w:val="24"/>
          <w:szCs w:val="24"/>
          <w:lang w:val="bg-BG"/>
        </w:rPr>
        <w:t xml:space="preserve"> и аутистичното поведение са най-</w:t>
      </w:r>
      <w:r w:rsidR="008221F9">
        <w:rPr>
          <w:rFonts w:ascii="Times New Roman" w:hAnsi="Times New Roman" w:cs="Times New Roman"/>
          <w:sz w:val="24"/>
          <w:szCs w:val="24"/>
          <w:lang w:val="bg-BG"/>
        </w:rPr>
        <w:t>често срещаните</w:t>
      </w:r>
      <w:r w:rsidR="00420191" w:rsidRPr="00F20C1F">
        <w:rPr>
          <w:rFonts w:ascii="Times New Roman" w:hAnsi="Times New Roman" w:cs="Times New Roman"/>
          <w:sz w:val="24"/>
          <w:szCs w:val="24"/>
          <w:lang w:val="bg-BG"/>
        </w:rPr>
        <w:t xml:space="preserve"> характеристики. Тридесет и три деца (63,4%) са с интелектуални затруднения. Аутизъм и аутистично поведение са наблюдавани при 22 пациенти (42,3%). Само при 9 пациенти от мъжки пол (17,3%) се наблюдават дисморфични характеристики, типични за FXS. Установено е, че три момчета (5,7%) са засегнати, а две от майките им са носителки на премутация. Заключени</w:t>
      </w:r>
      <w:r w:rsidR="008221F9">
        <w:rPr>
          <w:rFonts w:ascii="Times New Roman" w:hAnsi="Times New Roman" w:cs="Times New Roman"/>
          <w:sz w:val="24"/>
          <w:szCs w:val="24"/>
          <w:lang w:val="bg-BG"/>
        </w:rPr>
        <w:t>е</w:t>
      </w:r>
      <w:r w:rsidR="00420191" w:rsidRPr="00F20C1F">
        <w:rPr>
          <w:rFonts w:ascii="Times New Roman" w:hAnsi="Times New Roman" w:cs="Times New Roman"/>
          <w:sz w:val="24"/>
          <w:szCs w:val="24"/>
          <w:lang w:val="bg-BG"/>
        </w:rPr>
        <w:t>: Настоящото проучване е първият опит за молекулярно-генетичен селективен скрининг за FXS сред високорискови групи в Североизточна България. Скринингът за FXS помага за поставяне на окончателна диагноза, както и за предоставяне на генетично консултиране на семейството, което включва репродуктивно планиране и оценка на риска.</w:t>
      </w:r>
    </w:p>
    <w:p w14:paraId="57F987A5" w14:textId="77777777" w:rsidR="008221F9" w:rsidRPr="00F20C1F" w:rsidRDefault="008221F9" w:rsidP="008221F9">
      <w:pPr>
        <w:pStyle w:val="ListParagraph"/>
        <w:ind w:left="993"/>
        <w:jc w:val="both"/>
        <w:rPr>
          <w:rFonts w:ascii="Times New Roman" w:hAnsi="Times New Roman" w:cs="Times New Roman"/>
          <w:sz w:val="24"/>
          <w:szCs w:val="24"/>
          <w:lang w:val="bg-BG"/>
        </w:rPr>
      </w:pPr>
    </w:p>
    <w:bookmarkEnd w:id="7"/>
    <w:p w14:paraId="6B819867" w14:textId="0CF31111" w:rsidR="00E10B73" w:rsidRPr="00F20C1F" w:rsidRDefault="00F86383" w:rsidP="00420191">
      <w:pPr>
        <w:pStyle w:val="ListParagraph"/>
        <w:numPr>
          <w:ilvl w:val="1"/>
          <w:numId w:val="19"/>
        </w:numPr>
        <w:ind w:left="993" w:hanging="142"/>
        <w:jc w:val="both"/>
        <w:rPr>
          <w:rFonts w:ascii="Times New Roman" w:hAnsi="Times New Roman" w:cs="Times New Roman"/>
          <w:sz w:val="24"/>
          <w:szCs w:val="24"/>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E10B73" w:rsidRPr="00F20C1F">
        <w:rPr>
          <w:rFonts w:ascii="Times New Roman" w:hAnsi="Times New Roman" w:cs="Times New Roman"/>
          <w:sz w:val="24"/>
          <w:szCs w:val="24"/>
        </w:rPr>
        <w:t xml:space="preserve">Introduction: Fragile X syndrome (FXS, OMIM #300624) is the most common inherited form of intellectual disability and the leading monogenic cause of </w:t>
      </w:r>
      <w:r w:rsidR="00E10B73" w:rsidRPr="00F20C1F">
        <w:rPr>
          <w:rFonts w:ascii="Times New Roman" w:hAnsi="Times New Roman" w:cs="Times New Roman"/>
          <w:sz w:val="24"/>
          <w:szCs w:val="24"/>
        </w:rPr>
        <w:lastRenderedPageBreak/>
        <w:t xml:space="preserve">autism. Aim: To present our experience with selective screening for FXS among high-risk children with intellectual disability/developmental delay/autistic </w:t>
      </w:r>
      <w:r w:rsidR="00420191" w:rsidRPr="00F20C1F">
        <w:rPr>
          <w:rFonts w:ascii="Times New Roman" w:hAnsi="Times New Roman" w:cs="Times New Roman"/>
          <w:sz w:val="24"/>
          <w:szCs w:val="24"/>
        </w:rPr>
        <w:t>behavior</w:t>
      </w:r>
      <w:r w:rsidR="00E10B73" w:rsidRPr="00F20C1F">
        <w:rPr>
          <w:rFonts w:ascii="Times New Roman" w:hAnsi="Times New Roman" w:cs="Times New Roman"/>
          <w:sz w:val="24"/>
          <w:szCs w:val="24"/>
        </w:rPr>
        <w:t xml:space="preserve"> and to further prove the importance of performing selective screening in a high-risk population. Materials and methods: Fifty-two children (45 boys and 7 girls) hospitalized in pediatric clinics or referred to genetic counseling services were tested with triplet repeat primed PCR based commercial kit. The mean age of participants was 6 years (the youngest was 2 years old, the oldest - 15 years old). These patients were selected based on the presence of at least one of the following clinical features: developmental delay, intellectual disability, and autistic-like </w:t>
      </w:r>
      <w:r w:rsidR="00420191" w:rsidRPr="00F20C1F">
        <w:rPr>
          <w:rFonts w:ascii="Times New Roman" w:hAnsi="Times New Roman" w:cs="Times New Roman"/>
          <w:sz w:val="24"/>
          <w:szCs w:val="24"/>
        </w:rPr>
        <w:t>behavior</w:t>
      </w:r>
      <w:r w:rsidR="00E10B73" w:rsidRPr="00F20C1F">
        <w:rPr>
          <w:rFonts w:ascii="Times New Roman" w:hAnsi="Times New Roman" w:cs="Times New Roman"/>
          <w:sz w:val="24"/>
          <w:szCs w:val="24"/>
        </w:rPr>
        <w:t xml:space="preserve">. Results: All patients presented with developmental delay, including language delay. Intellectual disability and autistic-like </w:t>
      </w:r>
      <w:r w:rsidR="00420191" w:rsidRPr="00F20C1F">
        <w:rPr>
          <w:rFonts w:ascii="Times New Roman" w:hAnsi="Times New Roman" w:cs="Times New Roman"/>
          <w:sz w:val="24"/>
          <w:szCs w:val="24"/>
        </w:rPr>
        <w:t>behavior</w:t>
      </w:r>
      <w:r w:rsidR="00E10B73" w:rsidRPr="00F20C1F">
        <w:rPr>
          <w:rFonts w:ascii="Times New Roman" w:hAnsi="Times New Roman" w:cs="Times New Roman"/>
          <w:sz w:val="24"/>
          <w:szCs w:val="24"/>
        </w:rPr>
        <w:t xml:space="preserve"> were the most consistent features. Thirty-three children (63.4%) were with intellectual disability. Autism and autistic-like </w:t>
      </w:r>
      <w:r w:rsidR="00420191" w:rsidRPr="00F20C1F">
        <w:rPr>
          <w:rFonts w:ascii="Times New Roman" w:hAnsi="Times New Roman" w:cs="Times New Roman"/>
          <w:sz w:val="24"/>
          <w:szCs w:val="24"/>
        </w:rPr>
        <w:t>behavior</w:t>
      </w:r>
      <w:r w:rsidR="00E10B73" w:rsidRPr="00F20C1F">
        <w:rPr>
          <w:rFonts w:ascii="Times New Roman" w:hAnsi="Times New Roman" w:cs="Times New Roman"/>
          <w:sz w:val="24"/>
          <w:szCs w:val="24"/>
        </w:rPr>
        <w:t xml:space="preserve"> were observed in 22 patients (42.3%). Only 9 male patients (17.3%) presented with dysmorphic features typical for FXS. Three boys (5.7%) were found to be affected and two of their mothers - premutation carriers. Conclusions: The present study is the first attempt for molecular genetic selective screening for FXS among high-risk groups in north</w:t>
      </w:r>
      <w:r w:rsidR="00420191" w:rsidRPr="00F20C1F">
        <w:rPr>
          <w:rFonts w:ascii="Times New Roman" w:hAnsi="Times New Roman" w:cs="Times New Roman"/>
          <w:sz w:val="24"/>
          <w:szCs w:val="24"/>
          <w:lang w:val="bg-BG"/>
        </w:rPr>
        <w:t>-</w:t>
      </w:r>
      <w:r w:rsidR="00E10B73" w:rsidRPr="00F20C1F">
        <w:rPr>
          <w:rFonts w:ascii="Times New Roman" w:hAnsi="Times New Roman" w:cs="Times New Roman"/>
          <w:sz w:val="24"/>
          <w:szCs w:val="24"/>
        </w:rPr>
        <w:t>eastern Bulgaria. Screening for FXS helps in making a definitive diagnosis along with providing genetic counseling to the family which includes reproductive planning and risk assessment.</w:t>
      </w:r>
    </w:p>
    <w:p w14:paraId="6DCEB4BA" w14:textId="77777777" w:rsidR="00F86383" w:rsidRPr="00F20C1F" w:rsidRDefault="00F86383" w:rsidP="00F86383">
      <w:pPr>
        <w:pStyle w:val="ListParagraph"/>
        <w:jc w:val="both"/>
        <w:rPr>
          <w:rFonts w:ascii="Times New Roman" w:hAnsi="Times New Roman" w:cs="Times New Roman"/>
          <w:sz w:val="24"/>
          <w:szCs w:val="24"/>
          <w:lang w:val="bg-BG"/>
        </w:rPr>
      </w:pPr>
    </w:p>
    <w:p w14:paraId="40DE8509" w14:textId="4AB857CD" w:rsidR="00161774" w:rsidRPr="008221F9" w:rsidRDefault="00E10B73" w:rsidP="00F86383">
      <w:pPr>
        <w:pStyle w:val="ListParagraph"/>
        <w:numPr>
          <w:ilvl w:val="0"/>
          <w:numId w:val="4"/>
        </w:numPr>
        <w:jc w:val="both"/>
        <w:rPr>
          <w:rFonts w:ascii="Times New Roman" w:hAnsi="Times New Roman" w:cs="Times New Roman"/>
          <w:sz w:val="24"/>
          <w:szCs w:val="24"/>
          <w:lang w:val="bg-BG"/>
        </w:rPr>
      </w:pPr>
      <w:r w:rsidRPr="008221F9">
        <w:rPr>
          <w:rFonts w:ascii="Times New Roman" w:hAnsi="Times New Roman" w:cs="Times New Roman"/>
          <w:sz w:val="24"/>
          <w:szCs w:val="24"/>
          <w:lang w:val="bg-BG"/>
        </w:rPr>
        <w:t xml:space="preserve">М.Стоянова, М. Цветкова, </w:t>
      </w:r>
      <w:r w:rsidRPr="008221F9">
        <w:rPr>
          <w:rFonts w:ascii="Times New Roman" w:hAnsi="Times New Roman" w:cs="Times New Roman"/>
          <w:b/>
          <w:bCs/>
          <w:sz w:val="24"/>
          <w:szCs w:val="24"/>
          <w:lang w:val="bg-BG"/>
        </w:rPr>
        <w:t>М. Левкова</w:t>
      </w:r>
      <w:r w:rsidRPr="008221F9">
        <w:rPr>
          <w:rFonts w:ascii="Times New Roman" w:hAnsi="Times New Roman" w:cs="Times New Roman"/>
          <w:sz w:val="24"/>
          <w:szCs w:val="24"/>
          <w:lang w:val="bg-BG"/>
        </w:rPr>
        <w:t xml:space="preserve">, В. Митева, Д. Яхя, В. Йотова, М. Георгиева, Л. Ангелова. </w:t>
      </w:r>
      <w:r w:rsidRPr="008221F9">
        <w:rPr>
          <w:rFonts w:ascii="Times New Roman" w:hAnsi="Times New Roman" w:cs="Times New Roman"/>
          <w:i/>
          <w:iCs/>
          <w:sz w:val="24"/>
          <w:szCs w:val="24"/>
          <w:lang w:val="bg-BG"/>
        </w:rPr>
        <w:t>Цитогенетични изследвания при деца – опитът на Лаборатория по медицинска генетика - Варна за период от 10 години</w:t>
      </w:r>
      <w:r w:rsidRPr="008221F9">
        <w:rPr>
          <w:rFonts w:ascii="Times New Roman" w:hAnsi="Times New Roman" w:cs="Times New Roman"/>
          <w:sz w:val="24"/>
          <w:szCs w:val="24"/>
          <w:lang w:val="bg-BG"/>
        </w:rPr>
        <w:t>. сп. Педиатрия, 2021;61(2) Q4</w:t>
      </w:r>
    </w:p>
    <w:p w14:paraId="5FFA5520" w14:textId="645F4872" w:rsidR="00FC2959" w:rsidRPr="00F20C1F" w:rsidRDefault="00F86383" w:rsidP="004E4E09">
      <w:pPr>
        <w:pStyle w:val="ListParagraph"/>
        <w:numPr>
          <w:ilvl w:val="1"/>
          <w:numId w:val="18"/>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8" w:name="_Hlk144325014"/>
      <w:r w:rsidR="00741B84" w:rsidRPr="00F20C1F">
        <w:rPr>
          <w:rFonts w:ascii="Times New Roman" w:hAnsi="Times New Roman" w:cs="Times New Roman"/>
          <w:sz w:val="24"/>
          <w:szCs w:val="24"/>
          <w:lang w:val="bg-BG"/>
        </w:rPr>
        <w:t>Хромозомните аномалии са важна причина за множество малформативни синдроми и нарушение във физическото, нервно-психическото, умственото и половото развитие. Цел: Да се представят резултатите от проведен цитогенетичен анализ като метод за диагностика при деца със съмнение за хромозомна патология на база на данните на Лабораторията по медицинска генетика - Варна за 10-годишен период от време. Материал и методи: Извършен е ретроспективен анализ на цитогенетичните находки на деца, изследвани в генетичната лаборатория за периода 2010 - 2019 г. Проведен е цитогенетичен анализ върху биологичен материал от периферна кръв на 1781 деца (658 момичета и 1123 момчета) на възраст 0 - 18 г. (средна възраст 5.5 г.) със съмнение за хромозомна патология. Резултати: Патологичен кариотип е установен при 275 (15%) от общо 1781 изследвани деца, като в 10% се касае за бройна хромозомна аберация. Тризомия 21 е най-често разкриваната хромозомна патология - 137 деца (50%). Аберации по половите хромозоми са открити при общо 36 деца (13%), от които при 20 момичета (7%) се установява броен или структурен вариант на синдром на Търнър. В 76 (28%) случаи се касае за структурни автозомни хромозомни нарушения, като преобладават небалансираните аберации - 51 случаи (19%). Заключение: Обобщените данни от нашето проучване показват, че конвенционалният цитогенетичен анализ има своето място в диагностичния процес при определени показания и негово важно предимство пред молекулярно-</w:t>
      </w:r>
      <w:r w:rsidR="00741B84" w:rsidRPr="00F20C1F">
        <w:rPr>
          <w:rFonts w:ascii="Times New Roman" w:hAnsi="Times New Roman" w:cs="Times New Roman"/>
          <w:sz w:val="24"/>
          <w:szCs w:val="24"/>
          <w:lang w:val="bg-BG"/>
        </w:rPr>
        <w:lastRenderedPageBreak/>
        <w:t>генетичните методи е възможността за откриване на мозаицизъм, както и балансирани преустройства.</w:t>
      </w:r>
    </w:p>
    <w:bookmarkEnd w:id="8"/>
    <w:p w14:paraId="17D98E3D" w14:textId="77777777" w:rsidR="004E4E09" w:rsidRPr="00F20C1F" w:rsidRDefault="004E4E09" w:rsidP="004E4E09">
      <w:pPr>
        <w:pStyle w:val="ListParagraph"/>
        <w:ind w:left="993" w:hanging="142"/>
        <w:jc w:val="both"/>
        <w:rPr>
          <w:rFonts w:ascii="Times New Roman" w:hAnsi="Times New Roman" w:cs="Times New Roman"/>
          <w:sz w:val="24"/>
          <w:szCs w:val="24"/>
          <w:lang w:val="bg-BG"/>
        </w:rPr>
      </w:pPr>
    </w:p>
    <w:p w14:paraId="3126F570" w14:textId="335E0B6A" w:rsidR="00F86383" w:rsidRPr="00F20C1F" w:rsidRDefault="00F86383" w:rsidP="004E4E09">
      <w:pPr>
        <w:pStyle w:val="ListParagraph"/>
        <w:numPr>
          <w:ilvl w:val="1"/>
          <w:numId w:val="18"/>
        </w:numPr>
        <w:ind w:left="993" w:hanging="142"/>
        <w:jc w:val="both"/>
        <w:rPr>
          <w:b/>
          <w:bCs/>
          <w:sz w:val="24"/>
          <w:szCs w:val="24"/>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4E4E09" w:rsidRPr="00F20C1F">
        <w:rPr>
          <w:rFonts w:ascii="Times New Roman" w:hAnsi="Times New Roman" w:cs="Times New Roman"/>
          <w:sz w:val="24"/>
          <w:szCs w:val="24"/>
          <w:lang w:val="bg-BG"/>
        </w:rPr>
        <w:t xml:space="preserve">Chromosomal abnormalities are an important cause of many malformative syndromes and disorders in physical, neuro-mental, mental and sexual development. Aim: To present the results of cytogenetic analysis as a diagnostic method in children with suspected chromosomal pathology based on the data of the Medical Genetics Laboratory - Varna for a 10-year period. Material and Methods. A retrospective analysis of the cytogenetic findings of children tested in the genetic laboratory for the period 2010 - 2019 was performed. Cytogenetic analysis was performed on peripheral blood </w:t>
      </w:r>
      <w:r w:rsidR="008221F9">
        <w:rPr>
          <w:rFonts w:ascii="Times New Roman" w:hAnsi="Times New Roman" w:cs="Times New Roman"/>
          <w:sz w:val="24"/>
          <w:szCs w:val="24"/>
        </w:rPr>
        <w:t>samples</w:t>
      </w:r>
      <w:r w:rsidR="004E4E09" w:rsidRPr="00F20C1F">
        <w:rPr>
          <w:rFonts w:ascii="Times New Roman" w:hAnsi="Times New Roman" w:cs="Times New Roman"/>
          <w:sz w:val="24"/>
          <w:szCs w:val="24"/>
          <w:lang w:val="bg-BG"/>
        </w:rPr>
        <w:t xml:space="preserve"> of 1781 children (658 girls and 1123 boys) aged 0 - 18 years (mean age 5.5 years) with suspected chromosomal pathology. Results: 275 (15%) out of 1781 examined children were found to have abnormal karyotype, 10% of them had numerical chromosomal aberration. Trisomy 21 was the most frequently detected chromosomal pathology - 137 children (50%). Sex chromosome aberrations were found in a total of 36 children (13%), of whom 20 girls (7%) were found to have a </w:t>
      </w:r>
      <w:r w:rsidR="008221F9">
        <w:rPr>
          <w:rFonts w:ascii="Times New Roman" w:hAnsi="Times New Roman" w:cs="Times New Roman"/>
          <w:sz w:val="24"/>
          <w:szCs w:val="24"/>
        </w:rPr>
        <w:t>numerical</w:t>
      </w:r>
      <w:r w:rsidR="004E4E09" w:rsidRPr="00F20C1F">
        <w:rPr>
          <w:rFonts w:ascii="Times New Roman" w:hAnsi="Times New Roman" w:cs="Times New Roman"/>
          <w:sz w:val="24"/>
          <w:szCs w:val="24"/>
          <w:lang w:val="bg-BG"/>
        </w:rPr>
        <w:t xml:space="preserve"> or structural variant of Turner syndrome. In 76 (28%) cases structural autosomal chromosomal disorders were </w:t>
      </w:r>
      <w:r w:rsidR="008221F9">
        <w:rPr>
          <w:rFonts w:ascii="Times New Roman" w:hAnsi="Times New Roman" w:cs="Times New Roman"/>
          <w:sz w:val="24"/>
          <w:szCs w:val="24"/>
        </w:rPr>
        <w:t>present</w:t>
      </w:r>
      <w:r w:rsidR="004E4E09" w:rsidRPr="00F20C1F">
        <w:rPr>
          <w:rFonts w:ascii="Times New Roman" w:hAnsi="Times New Roman" w:cs="Times New Roman"/>
          <w:sz w:val="24"/>
          <w:szCs w:val="24"/>
          <w:lang w:val="bg-BG"/>
        </w:rPr>
        <w:t>, with unbalanced aberrations predominating in 51 (19%) cases. C</w:t>
      </w:r>
      <w:r w:rsidR="008221F9" w:rsidRPr="00F20C1F">
        <w:rPr>
          <w:rFonts w:ascii="Times New Roman" w:hAnsi="Times New Roman" w:cs="Times New Roman"/>
          <w:sz w:val="24"/>
          <w:szCs w:val="24"/>
          <w:lang w:val="bg-BG"/>
        </w:rPr>
        <w:t>onclusion</w:t>
      </w:r>
      <w:r w:rsidR="004E4E09" w:rsidRPr="00F20C1F">
        <w:rPr>
          <w:rFonts w:ascii="Times New Roman" w:hAnsi="Times New Roman" w:cs="Times New Roman"/>
          <w:sz w:val="24"/>
          <w:szCs w:val="24"/>
          <w:lang w:val="bg-BG"/>
        </w:rPr>
        <w:t>: The summarized data from our study show that conventional cytogenetic analysis has its place in the diagnostic process in certain indications and its important advantage over molecular genetic methods is the ability to detect mosaicism as well as balanced rearrangements.</w:t>
      </w:r>
    </w:p>
    <w:p w14:paraId="182B6FCB" w14:textId="02E9D7DA" w:rsidR="009421F3" w:rsidRPr="00F20C1F" w:rsidRDefault="009421F3" w:rsidP="009421F3">
      <w:pPr>
        <w:pStyle w:val="ListParagraph"/>
        <w:ind w:left="1440"/>
        <w:jc w:val="both"/>
        <w:rPr>
          <w:b/>
          <w:bCs/>
          <w:sz w:val="24"/>
          <w:szCs w:val="24"/>
          <w:lang w:val="bg-BG"/>
        </w:rPr>
      </w:pPr>
    </w:p>
    <w:p w14:paraId="33A28622" w14:textId="6895951A" w:rsidR="00161774" w:rsidRPr="00411322" w:rsidRDefault="00741B84" w:rsidP="00F86383">
      <w:pPr>
        <w:pStyle w:val="ListParagraph"/>
        <w:numPr>
          <w:ilvl w:val="0"/>
          <w:numId w:val="4"/>
        </w:numPr>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 </w:t>
      </w:r>
      <w:r w:rsidRPr="00411322">
        <w:rPr>
          <w:rFonts w:ascii="Times New Roman" w:hAnsi="Times New Roman" w:cs="Times New Roman"/>
          <w:sz w:val="24"/>
          <w:szCs w:val="24"/>
          <w:lang w:val="bg-BG"/>
        </w:rPr>
        <w:t xml:space="preserve">Angelova L, Tsvetkova M, </w:t>
      </w:r>
      <w:r w:rsidRPr="00411322">
        <w:rPr>
          <w:rFonts w:ascii="Times New Roman" w:hAnsi="Times New Roman" w:cs="Times New Roman"/>
          <w:b/>
          <w:bCs/>
          <w:sz w:val="24"/>
          <w:szCs w:val="24"/>
          <w:lang w:val="bg-BG"/>
        </w:rPr>
        <w:t>Levkova M</w:t>
      </w:r>
      <w:r w:rsidRPr="00411322">
        <w:rPr>
          <w:rFonts w:ascii="Times New Roman" w:hAnsi="Times New Roman" w:cs="Times New Roman"/>
          <w:sz w:val="24"/>
          <w:szCs w:val="24"/>
          <w:lang w:val="bg-BG"/>
        </w:rPr>
        <w:t xml:space="preserve">.  </w:t>
      </w:r>
      <w:r w:rsidRPr="00411322">
        <w:rPr>
          <w:rFonts w:ascii="Times New Roman" w:hAnsi="Times New Roman" w:cs="Times New Roman"/>
          <w:i/>
          <w:iCs/>
          <w:sz w:val="24"/>
          <w:szCs w:val="24"/>
          <w:lang w:val="bg-BG"/>
        </w:rPr>
        <w:t>Chromosomal polymorphism in Bulgarian patients with reproductive problems – one genetic centre experience</w:t>
      </w:r>
      <w:r w:rsidRPr="00411322">
        <w:rPr>
          <w:rFonts w:ascii="Times New Roman" w:hAnsi="Times New Roman" w:cs="Times New Roman"/>
          <w:sz w:val="24"/>
          <w:szCs w:val="24"/>
          <w:lang w:val="bg-BG"/>
        </w:rPr>
        <w:t>. Journal of IMAB–Annual Proceeding Scientific Papers, 2021;27(4):4133-4138. Q3</w:t>
      </w:r>
    </w:p>
    <w:p w14:paraId="618BBDF0" w14:textId="343DC539" w:rsidR="00FC2959" w:rsidRPr="00F20C1F" w:rsidRDefault="00F86383" w:rsidP="004E4E09">
      <w:pPr>
        <w:pStyle w:val="ListParagraph"/>
        <w:numPr>
          <w:ilvl w:val="1"/>
          <w:numId w:val="17"/>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9" w:name="_Hlk144325051"/>
      <w:r w:rsidR="004E4E09" w:rsidRPr="00F20C1F">
        <w:rPr>
          <w:rFonts w:ascii="Times New Roman" w:hAnsi="Times New Roman" w:cs="Times New Roman"/>
          <w:sz w:val="24"/>
          <w:szCs w:val="24"/>
          <w:lang w:val="bg-BG"/>
        </w:rPr>
        <w:t xml:space="preserve">Хромозомният полиморфизъм се описва като нормални варианти в хромозомни области без влияние върху фенотипа, но с възможна връзка с </w:t>
      </w:r>
      <w:r w:rsidR="00411322">
        <w:rPr>
          <w:rFonts w:ascii="Times New Roman" w:hAnsi="Times New Roman" w:cs="Times New Roman"/>
          <w:sz w:val="24"/>
          <w:szCs w:val="24"/>
          <w:lang w:val="bg-BG"/>
        </w:rPr>
        <w:t>инфертилитета</w:t>
      </w:r>
      <w:r w:rsidR="004E4E09" w:rsidRPr="00F20C1F">
        <w:rPr>
          <w:rFonts w:ascii="Times New Roman" w:hAnsi="Times New Roman" w:cs="Times New Roman"/>
          <w:sz w:val="24"/>
          <w:szCs w:val="24"/>
          <w:lang w:val="bg-BG"/>
        </w:rPr>
        <w:t xml:space="preserve"> и повтарящите се спонтанни аборти. Целта на това проучване е да се оцени влиянието на хромозомните полиморфизми, които </w:t>
      </w:r>
      <w:r w:rsidR="00411322">
        <w:rPr>
          <w:rFonts w:ascii="Times New Roman" w:hAnsi="Times New Roman" w:cs="Times New Roman"/>
          <w:sz w:val="24"/>
          <w:szCs w:val="24"/>
          <w:lang w:val="bg-BG"/>
        </w:rPr>
        <w:t>се наблюдават</w:t>
      </w:r>
      <w:r w:rsidR="004E4E09" w:rsidRPr="00F20C1F">
        <w:rPr>
          <w:rFonts w:ascii="Times New Roman" w:hAnsi="Times New Roman" w:cs="Times New Roman"/>
          <w:sz w:val="24"/>
          <w:szCs w:val="24"/>
          <w:lang w:val="bg-BG"/>
        </w:rPr>
        <w:t xml:space="preserve"> в семейства с репродуктивни неуспехи в българската популация. Материал и методи: Общо 1733 пациенти с необясними репродуктивни неуспехи, посетили Лабораторията по медицинска генетика - Варна, България, (2004 - 2019 г.), бяха изследвани чрез конвенционални цитогенетични анализи GTG и CBG диференциални б</w:t>
      </w:r>
      <w:r w:rsidR="00411322">
        <w:rPr>
          <w:rFonts w:ascii="Times New Roman" w:hAnsi="Times New Roman" w:cs="Times New Roman"/>
          <w:sz w:val="24"/>
          <w:szCs w:val="24"/>
          <w:lang w:val="bg-BG"/>
        </w:rPr>
        <w:t>е</w:t>
      </w:r>
      <w:r w:rsidR="004E4E09" w:rsidRPr="00F20C1F">
        <w:rPr>
          <w:rFonts w:ascii="Times New Roman" w:hAnsi="Times New Roman" w:cs="Times New Roman"/>
          <w:sz w:val="24"/>
          <w:szCs w:val="24"/>
          <w:lang w:val="bg-BG"/>
        </w:rPr>
        <w:t>ндинг техники и анализирани с резолюция 400-550 GTG б</w:t>
      </w:r>
      <w:r w:rsidR="00411322">
        <w:rPr>
          <w:rFonts w:ascii="Times New Roman" w:hAnsi="Times New Roman" w:cs="Times New Roman"/>
          <w:sz w:val="24"/>
          <w:szCs w:val="24"/>
          <w:lang w:val="bg-BG"/>
        </w:rPr>
        <w:t>е</w:t>
      </w:r>
      <w:r w:rsidR="004E4E09" w:rsidRPr="00F20C1F">
        <w:rPr>
          <w:rFonts w:ascii="Times New Roman" w:hAnsi="Times New Roman" w:cs="Times New Roman"/>
          <w:sz w:val="24"/>
          <w:szCs w:val="24"/>
          <w:lang w:val="bg-BG"/>
        </w:rPr>
        <w:t>нда. Резултати: Хромозомни полиморфизми са открити при 173 пациенти</w:t>
      </w:r>
      <w:r w:rsidR="00411322">
        <w:rPr>
          <w:rFonts w:ascii="Times New Roman" w:hAnsi="Times New Roman" w:cs="Times New Roman"/>
          <w:sz w:val="24"/>
          <w:szCs w:val="24"/>
          <w:lang w:val="bg-BG"/>
        </w:rPr>
        <w:t xml:space="preserve"> с инфертилитет</w:t>
      </w:r>
      <w:r w:rsidR="004E4E09" w:rsidRPr="00F20C1F">
        <w:rPr>
          <w:rFonts w:ascii="Times New Roman" w:hAnsi="Times New Roman" w:cs="Times New Roman"/>
          <w:sz w:val="24"/>
          <w:szCs w:val="24"/>
          <w:lang w:val="bg-BG"/>
        </w:rPr>
        <w:t xml:space="preserve"> (9,98%). Разпределението по пол е следното: 6,52% мъже и 3,46% жени. Най-често срещаната находка е inv(9)(qh) (23,7%). Другите открити хромозомни варианти са: варианти 9qh+/- (15,1%); полиморфизми на късите рамена на акроцентричните хромозоми (21,4%); 16qh+ (12,7%) и 1qh+ (6,9%). Полиморфизъм на Y-хромозомата е открит при 27,4% от мъжете с полиморфиз</w:t>
      </w:r>
      <w:r w:rsidR="00411322">
        <w:rPr>
          <w:rFonts w:ascii="Times New Roman" w:hAnsi="Times New Roman" w:cs="Times New Roman"/>
          <w:sz w:val="24"/>
          <w:szCs w:val="24"/>
          <w:lang w:val="bg-BG"/>
        </w:rPr>
        <w:t>ми</w:t>
      </w:r>
      <w:r w:rsidR="004E4E09" w:rsidRPr="00F20C1F">
        <w:rPr>
          <w:rFonts w:ascii="Times New Roman" w:hAnsi="Times New Roman" w:cs="Times New Roman"/>
          <w:sz w:val="24"/>
          <w:szCs w:val="24"/>
          <w:lang w:val="bg-BG"/>
        </w:rPr>
        <w:t>. Открити са и два редки случая на полиморфизъм, засягащ центромерните области</w:t>
      </w:r>
      <w:r w:rsidR="00411322">
        <w:rPr>
          <w:rFonts w:ascii="Times New Roman" w:hAnsi="Times New Roman" w:cs="Times New Roman"/>
          <w:sz w:val="24"/>
          <w:szCs w:val="24"/>
          <w:lang w:val="bg-BG"/>
        </w:rPr>
        <w:t xml:space="preserve"> - </w:t>
      </w:r>
      <w:r w:rsidR="004E4E09" w:rsidRPr="00F20C1F">
        <w:rPr>
          <w:rFonts w:ascii="Times New Roman" w:hAnsi="Times New Roman" w:cs="Times New Roman"/>
          <w:sz w:val="24"/>
          <w:szCs w:val="24"/>
          <w:lang w:val="bg-BG"/>
        </w:rPr>
        <w:t xml:space="preserve">19qcenh+ и 20pcenh+. Заключение: Налице са все повече доказателства, че </w:t>
      </w:r>
      <w:r w:rsidR="004E4E09" w:rsidRPr="00F20C1F">
        <w:rPr>
          <w:rFonts w:ascii="Times New Roman" w:hAnsi="Times New Roman" w:cs="Times New Roman"/>
          <w:sz w:val="24"/>
          <w:szCs w:val="24"/>
          <w:lang w:val="bg-BG"/>
        </w:rPr>
        <w:lastRenderedPageBreak/>
        <w:t xml:space="preserve">полиморфизмите могат да имат клинично въздействие върху фертилитета и да участват в етиологията на </w:t>
      </w:r>
      <w:r w:rsidR="00411322">
        <w:rPr>
          <w:rFonts w:ascii="Times New Roman" w:hAnsi="Times New Roman" w:cs="Times New Roman"/>
          <w:sz w:val="24"/>
          <w:szCs w:val="24"/>
          <w:lang w:val="bg-BG"/>
        </w:rPr>
        <w:t>инфертилитета</w:t>
      </w:r>
      <w:r w:rsidR="004E4E09" w:rsidRPr="00F20C1F">
        <w:rPr>
          <w:rFonts w:ascii="Times New Roman" w:hAnsi="Times New Roman" w:cs="Times New Roman"/>
          <w:sz w:val="24"/>
          <w:szCs w:val="24"/>
          <w:lang w:val="bg-BG"/>
        </w:rPr>
        <w:t xml:space="preserve">. В това проучване открихме значително висок процент полиморфизми (9,98%) сред изследваните пациенти, като те са по-често срещани сред мъжете. Статистическата значимост на повишената честота на хромозомните вариации, установена в нашето проучване, подчертава необходимостта от рутинна оценка на тяхната роля в семействата с </w:t>
      </w:r>
      <w:r w:rsidR="00411322">
        <w:rPr>
          <w:rFonts w:ascii="Times New Roman" w:hAnsi="Times New Roman" w:cs="Times New Roman"/>
          <w:sz w:val="24"/>
          <w:szCs w:val="24"/>
          <w:lang w:val="bg-BG"/>
        </w:rPr>
        <w:t>инфертилитет</w:t>
      </w:r>
      <w:r w:rsidR="004E4E09" w:rsidRPr="00F20C1F">
        <w:rPr>
          <w:rFonts w:ascii="Times New Roman" w:hAnsi="Times New Roman" w:cs="Times New Roman"/>
          <w:sz w:val="24"/>
          <w:szCs w:val="24"/>
          <w:lang w:val="bg-BG"/>
        </w:rPr>
        <w:t xml:space="preserve"> в нашата страна.</w:t>
      </w:r>
    </w:p>
    <w:bookmarkEnd w:id="9"/>
    <w:p w14:paraId="7E20418D" w14:textId="77777777" w:rsidR="004E4E09" w:rsidRPr="00F20C1F" w:rsidRDefault="004E4E09" w:rsidP="004E4E09">
      <w:pPr>
        <w:pStyle w:val="ListParagraph"/>
        <w:ind w:left="993" w:hanging="142"/>
        <w:jc w:val="both"/>
        <w:rPr>
          <w:rFonts w:ascii="Times New Roman" w:hAnsi="Times New Roman" w:cs="Times New Roman"/>
          <w:sz w:val="24"/>
          <w:szCs w:val="24"/>
          <w:lang w:val="bg-BG"/>
        </w:rPr>
      </w:pPr>
    </w:p>
    <w:p w14:paraId="112455A7" w14:textId="10A71633" w:rsidR="00F86383" w:rsidRPr="00F20C1F" w:rsidRDefault="00F86383" w:rsidP="004E4E09">
      <w:pPr>
        <w:pStyle w:val="ListParagraph"/>
        <w:numPr>
          <w:ilvl w:val="1"/>
          <w:numId w:val="17"/>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741B84" w:rsidRPr="00F20C1F">
        <w:rPr>
          <w:rFonts w:ascii="Times New Roman" w:hAnsi="Times New Roman" w:cs="Times New Roman"/>
          <w:sz w:val="24"/>
          <w:szCs w:val="24"/>
        </w:rPr>
        <w:t>Chromosomal polymorphism is described as normal variants at chromosomal regions with no impact on the phenotype but a possible correlation to infertility and recurrent spontaneous abortions. The aim of this study was to evaluate the effect of the chromosomal polymorphisms involved in families with reproductive failures in the Bulgarian population. Material and methods: A total of 1733 patients with unexplained reproductive failures who visited the Laboratory of Medical Genetics – Varna, Bulgaria, (2004 - 2019) were investigated by conventional cytogenetic analysis GTG and CBG differential banding techniques and analyzed at the resolution 400-550 GTG bands. Results: Chromosomal polymorphisms were found in 173 infertile patients (9,98%). The sex distribution was 6,52% males and 3,46% females. The most frequent finding was inv(</w:t>
      </w:r>
      <w:proofErr w:type="gramStart"/>
      <w:r w:rsidR="00741B84" w:rsidRPr="00F20C1F">
        <w:rPr>
          <w:rFonts w:ascii="Times New Roman" w:hAnsi="Times New Roman" w:cs="Times New Roman"/>
          <w:sz w:val="24"/>
          <w:szCs w:val="24"/>
        </w:rPr>
        <w:t>9)(</w:t>
      </w:r>
      <w:proofErr w:type="spellStart"/>
      <w:proofErr w:type="gramEnd"/>
      <w:r w:rsidR="00741B84" w:rsidRPr="00F20C1F">
        <w:rPr>
          <w:rFonts w:ascii="Times New Roman" w:hAnsi="Times New Roman" w:cs="Times New Roman"/>
          <w:sz w:val="24"/>
          <w:szCs w:val="24"/>
        </w:rPr>
        <w:t>qh</w:t>
      </w:r>
      <w:proofErr w:type="spellEnd"/>
      <w:r w:rsidR="00741B84" w:rsidRPr="00F20C1F">
        <w:rPr>
          <w:rFonts w:ascii="Times New Roman" w:hAnsi="Times New Roman" w:cs="Times New Roman"/>
          <w:sz w:val="24"/>
          <w:szCs w:val="24"/>
        </w:rPr>
        <w:t>) (23,7%). The other chromosomal variants, which were found, consisted: 9qh+/- variants (15,1%); polymorphisms on the short arms of the acrocentric chromosomes (21,4%); 16qh+ (12,7%) and 1qh+ (6,9%). Y chromosome polymorphism was found in 27,4% of the males with polymorphisms. Two rare cases of polymorphism involving the centromere regions - 19qcenh+ and 20pcenh+ were also found. Conclusion: There is growing evidence that polymorphisms may have a clinical impact on fertility and could take part in the etiology of RF. In this study, we found a significantly high percentage of polymorphisms (9,98%) among the tested patients, and they were more common among males. The statistical significance of increased incidence of chromosome variations found in our study emphasizes the need for routine evaluation of their role in families with RF in our country.</w:t>
      </w:r>
    </w:p>
    <w:p w14:paraId="720AE111" w14:textId="77777777" w:rsidR="004E4E09" w:rsidRPr="00F20C1F" w:rsidRDefault="004E4E09" w:rsidP="004E4E09">
      <w:pPr>
        <w:pStyle w:val="ListParagraph"/>
        <w:ind w:left="1440"/>
        <w:jc w:val="both"/>
        <w:rPr>
          <w:rFonts w:ascii="Times New Roman" w:hAnsi="Times New Roman" w:cs="Times New Roman"/>
          <w:sz w:val="24"/>
          <w:szCs w:val="24"/>
          <w:lang w:val="bg-BG"/>
        </w:rPr>
      </w:pPr>
    </w:p>
    <w:p w14:paraId="7D009459" w14:textId="21523997" w:rsidR="00161774" w:rsidRPr="00B07315" w:rsidRDefault="00EC52F3" w:rsidP="00F86383">
      <w:pPr>
        <w:pStyle w:val="ListParagraph"/>
        <w:numPr>
          <w:ilvl w:val="0"/>
          <w:numId w:val="4"/>
        </w:numPr>
        <w:jc w:val="both"/>
        <w:rPr>
          <w:rFonts w:ascii="Times New Roman" w:hAnsi="Times New Roman" w:cs="Times New Roman"/>
          <w:sz w:val="24"/>
          <w:szCs w:val="24"/>
          <w:lang w:val="bg-BG"/>
        </w:rPr>
      </w:pPr>
      <w:r w:rsidRPr="00B07315">
        <w:rPr>
          <w:rFonts w:ascii="Times New Roman" w:hAnsi="Times New Roman" w:cs="Times New Roman"/>
          <w:sz w:val="24"/>
          <w:szCs w:val="24"/>
          <w:lang w:val="bg-BG"/>
        </w:rPr>
        <w:t xml:space="preserve">Levkova M., Т.Chervenkov, М.Hachmeriyan, L.Angelova. </w:t>
      </w:r>
      <w:r w:rsidRPr="00B07315">
        <w:rPr>
          <w:rFonts w:ascii="Times New Roman" w:hAnsi="Times New Roman" w:cs="Times New Roman"/>
          <w:i/>
          <w:iCs/>
          <w:sz w:val="24"/>
          <w:szCs w:val="24"/>
          <w:lang w:val="bg-BG"/>
        </w:rPr>
        <w:t>CFTR gene variants as a reason for impaired spermatogenesis: a pilot study and a meta-analysis of published data</w:t>
      </w:r>
      <w:r w:rsidRPr="00B07315">
        <w:rPr>
          <w:rFonts w:ascii="Times New Roman" w:hAnsi="Times New Roman" w:cs="Times New Roman"/>
          <w:sz w:val="24"/>
          <w:szCs w:val="24"/>
          <w:lang w:val="bg-BG"/>
        </w:rPr>
        <w:t>, Human Fertility. 2021 Mar 6:1-0. (IF 2.161) Q3</w:t>
      </w:r>
    </w:p>
    <w:p w14:paraId="21E16B8E" w14:textId="58E6489A" w:rsidR="00F86383" w:rsidRPr="00F20C1F" w:rsidRDefault="00F86383" w:rsidP="004E4E09">
      <w:pPr>
        <w:pStyle w:val="ListParagraph"/>
        <w:numPr>
          <w:ilvl w:val="1"/>
          <w:numId w:val="17"/>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10" w:name="_Hlk144325089"/>
      <w:r w:rsidR="004E4E09" w:rsidRPr="00F20C1F">
        <w:rPr>
          <w:rFonts w:ascii="Times New Roman" w:hAnsi="Times New Roman" w:cs="Times New Roman"/>
          <w:sz w:val="24"/>
          <w:szCs w:val="24"/>
          <w:lang w:val="bg-BG"/>
        </w:rPr>
        <w:t>Все повече данни сочат, че вариантът IVS8-5T и</w:t>
      </w:r>
      <w:r w:rsidR="00B07315">
        <w:rPr>
          <w:rFonts w:ascii="Times New Roman" w:hAnsi="Times New Roman" w:cs="Times New Roman"/>
          <w:sz w:val="24"/>
          <w:szCs w:val="24"/>
          <w:lang w:val="bg-BG"/>
        </w:rPr>
        <w:t xml:space="preserve"> </w:t>
      </w:r>
      <w:r w:rsidR="00B07315" w:rsidRPr="00F20C1F">
        <w:rPr>
          <w:rFonts w:ascii="Times New Roman" w:hAnsi="Times New Roman" w:cs="Times New Roman"/>
          <w:sz w:val="24"/>
          <w:szCs w:val="24"/>
          <w:lang w:val="bg-BG"/>
        </w:rPr>
        <w:t>TG</w:t>
      </w:r>
      <w:r w:rsidR="004E4E09" w:rsidRPr="00F20C1F">
        <w:rPr>
          <w:rFonts w:ascii="Times New Roman" w:hAnsi="Times New Roman" w:cs="Times New Roman"/>
          <w:sz w:val="24"/>
          <w:szCs w:val="24"/>
          <w:lang w:val="bg-BG"/>
        </w:rPr>
        <w:t xml:space="preserve"> повторите могат да доведат до нарушена сперматогенеза. За да проучим това, извършихме секвениране по Sanger на 50 български мъже с брой сперматозоиди под 5 x 10</w:t>
      </w:r>
      <w:r w:rsidR="004E4E09" w:rsidRPr="00B07315">
        <w:rPr>
          <w:rFonts w:ascii="Times New Roman" w:hAnsi="Times New Roman" w:cs="Times New Roman"/>
          <w:sz w:val="24"/>
          <w:szCs w:val="24"/>
          <w:vertAlign w:val="superscript"/>
          <w:lang w:val="bg-BG"/>
        </w:rPr>
        <w:t>6</w:t>
      </w:r>
      <w:r w:rsidR="004E4E09" w:rsidRPr="00F20C1F">
        <w:rPr>
          <w:rFonts w:ascii="Times New Roman" w:hAnsi="Times New Roman" w:cs="Times New Roman"/>
          <w:sz w:val="24"/>
          <w:szCs w:val="24"/>
          <w:lang w:val="bg-BG"/>
        </w:rPr>
        <w:t xml:space="preserve"> /mL и 20 нормални фертилни мъже. Честотите на резултатите бяха сравнени между двете групи. Извършен е мета</w:t>
      </w:r>
      <w:r w:rsidR="00B07315">
        <w:rPr>
          <w:rFonts w:ascii="Times New Roman" w:hAnsi="Times New Roman" w:cs="Times New Roman"/>
          <w:sz w:val="24"/>
          <w:szCs w:val="24"/>
          <w:lang w:val="bg-BG"/>
        </w:rPr>
        <w:t>-</w:t>
      </w:r>
      <w:r w:rsidR="004E4E09" w:rsidRPr="00F20C1F">
        <w:rPr>
          <w:rFonts w:ascii="Times New Roman" w:hAnsi="Times New Roman" w:cs="Times New Roman"/>
          <w:sz w:val="24"/>
          <w:szCs w:val="24"/>
          <w:lang w:val="bg-BG"/>
        </w:rPr>
        <w:t xml:space="preserve">анализ, като са използвани данните за 6423 пациенти и 5834 контролни лица, изследвани за полиморфизма IVS8-5T. Един пациент (2,0%) е хомозигот за варианта 5T/5T, а двама (4,0%) са хетерозиготи за варианта 5T/7T. В контролната група не са открити алели 5Т. Генотиповете на двете групи показват статистически значима разлика (p = 0,04, a &lt; 0,05). Също така </w:t>
      </w:r>
      <w:r w:rsidR="00B07315">
        <w:rPr>
          <w:rFonts w:ascii="Times New Roman" w:hAnsi="Times New Roman" w:cs="Times New Roman"/>
          <w:sz w:val="24"/>
          <w:szCs w:val="24"/>
          <w:lang w:val="bg-BG"/>
        </w:rPr>
        <w:t>отношението на шансовете</w:t>
      </w:r>
      <w:r w:rsidR="004E4E09" w:rsidRPr="00F20C1F">
        <w:rPr>
          <w:rFonts w:ascii="Times New Roman" w:hAnsi="Times New Roman" w:cs="Times New Roman"/>
          <w:sz w:val="24"/>
          <w:szCs w:val="24"/>
          <w:lang w:val="bg-BG"/>
        </w:rPr>
        <w:t xml:space="preserve"> е 3,73, но то е </w:t>
      </w:r>
      <w:r w:rsidR="00B07315">
        <w:rPr>
          <w:rFonts w:ascii="Times New Roman" w:hAnsi="Times New Roman" w:cs="Times New Roman"/>
          <w:sz w:val="24"/>
          <w:szCs w:val="24"/>
          <w:lang w:val="bg-BG"/>
        </w:rPr>
        <w:t>несигнификантно</w:t>
      </w:r>
      <w:r w:rsidR="004E4E09" w:rsidRPr="00F20C1F">
        <w:rPr>
          <w:rFonts w:ascii="Times New Roman" w:hAnsi="Times New Roman" w:cs="Times New Roman"/>
          <w:sz w:val="24"/>
          <w:szCs w:val="24"/>
          <w:lang w:val="bg-BG"/>
        </w:rPr>
        <w:t xml:space="preserve"> (p = 0,38). Всички </w:t>
      </w:r>
      <w:r w:rsidR="004E4E09" w:rsidRPr="00F20C1F">
        <w:rPr>
          <w:rFonts w:ascii="Times New Roman" w:hAnsi="Times New Roman" w:cs="Times New Roman"/>
          <w:sz w:val="24"/>
          <w:szCs w:val="24"/>
          <w:lang w:val="bg-BG"/>
        </w:rPr>
        <w:lastRenderedPageBreak/>
        <w:t>контролни субекти са имали 11 TG повтор</w:t>
      </w:r>
      <w:r w:rsidR="00B07315">
        <w:rPr>
          <w:rFonts w:ascii="Times New Roman" w:hAnsi="Times New Roman" w:cs="Times New Roman"/>
          <w:sz w:val="24"/>
          <w:szCs w:val="24"/>
          <w:lang w:val="bg-BG"/>
        </w:rPr>
        <w:t>а</w:t>
      </w:r>
      <w:r w:rsidR="004E4E09" w:rsidRPr="00F20C1F">
        <w:rPr>
          <w:rFonts w:ascii="Times New Roman" w:hAnsi="Times New Roman" w:cs="Times New Roman"/>
          <w:sz w:val="24"/>
          <w:szCs w:val="24"/>
          <w:lang w:val="bg-BG"/>
        </w:rPr>
        <w:t xml:space="preserve">, а при тестовата група: 47 (94,0%) мъже </w:t>
      </w:r>
      <w:r w:rsidR="00B07315">
        <w:rPr>
          <w:rFonts w:ascii="Times New Roman" w:hAnsi="Times New Roman" w:cs="Times New Roman"/>
          <w:sz w:val="24"/>
          <w:szCs w:val="24"/>
          <w:lang w:val="bg-BG"/>
        </w:rPr>
        <w:t xml:space="preserve">са </w:t>
      </w:r>
      <w:r w:rsidR="004E4E09" w:rsidRPr="00F20C1F">
        <w:rPr>
          <w:rFonts w:ascii="Times New Roman" w:hAnsi="Times New Roman" w:cs="Times New Roman"/>
          <w:sz w:val="24"/>
          <w:szCs w:val="24"/>
          <w:lang w:val="bg-BG"/>
        </w:rPr>
        <w:t>с 11 TG повтор</w:t>
      </w:r>
      <w:r w:rsidR="00B07315">
        <w:rPr>
          <w:rFonts w:ascii="Times New Roman" w:hAnsi="Times New Roman" w:cs="Times New Roman"/>
          <w:sz w:val="24"/>
          <w:szCs w:val="24"/>
          <w:lang w:val="bg-BG"/>
        </w:rPr>
        <w:t>а</w:t>
      </w:r>
      <w:r w:rsidR="004E4E09" w:rsidRPr="00F20C1F">
        <w:rPr>
          <w:rFonts w:ascii="Times New Roman" w:hAnsi="Times New Roman" w:cs="Times New Roman"/>
          <w:sz w:val="24"/>
          <w:szCs w:val="24"/>
          <w:lang w:val="bg-BG"/>
        </w:rPr>
        <w:t xml:space="preserve"> и трима (6,00%) с 10 TG повтор</w:t>
      </w:r>
      <w:r w:rsidR="00B07315">
        <w:rPr>
          <w:rFonts w:ascii="Times New Roman" w:hAnsi="Times New Roman" w:cs="Times New Roman"/>
          <w:sz w:val="24"/>
          <w:szCs w:val="24"/>
          <w:lang w:val="bg-BG"/>
        </w:rPr>
        <w:t>а</w:t>
      </w:r>
      <w:r w:rsidR="004E4E09" w:rsidRPr="00F20C1F">
        <w:rPr>
          <w:rFonts w:ascii="Times New Roman" w:hAnsi="Times New Roman" w:cs="Times New Roman"/>
          <w:sz w:val="24"/>
          <w:szCs w:val="24"/>
          <w:lang w:val="bg-BG"/>
        </w:rPr>
        <w:t xml:space="preserve">. Тестът на Фишер не показа </w:t>
      </w:r>
      <w:r w:rsidR="00B07315">
        <w:rPr>
          <w:rFonts w:ascii="Times New Roman" w:hAnsi="Times New Roman" w:cs="Times New Roman"/>
          <w:sz w:val="24"/>
          <w:szCs w:val="24"/>
          <w:lang w:val="bg-BG"/>
        </w:rPr>
        <w:t>статистически значима</w:t>
      </w:r>
      <w:r w:rsidR="004E4E09" w:rsidRPr="00F20C1F">
        <w:rPr>
          <w:rFonts w:ascii="Times New Roman" w:hAnsi="Times New Roman" w:cs="Times New Roman"/>
          <w:sz w:val="24"/>
          <w:szCs w:val="24"/>
          <w:lang w:val="bg-BG"/>
        </w:rPr>
        <w:t xml:space="preserve"> разлика (p = 0,55). Мета-анализът показва, че вариантът IVS8-5T е рисков фактор за нарушена сперматогенеза (OR = 2,84, p &lt; 0,05) и това е по-силно изразено при неевропейските (OR = 4,50, p &lt; 0,05) в сравнение с европейските (OR = 1,28, p &lt; 0,05) мъже. Вариантът IVS8 - 5 T може да бъде свързан с нарушения в производството на сперматозоиди</w:t>
      </w:r>
    </w:p>
    <w:bookmarkEnd w:id="10"/>
    <w:p w14:paraId="7DCC0377" w14:textId="77777777" w:rsidR="004E4E09" w:rsidRPr="00F20C1F" w:rsidRDefault="004E4E09" w:rsidP="004E4E09">
      <w:pPr>
        <w:pStyle w:val="ListParagraph"/>
        <w:ind w:left="993" w:hanging="142"/>
        <w:jc w:val="both"/>
        <w:rPr>
          <w:rFonts w:ascii="Times New Roman" w:hAnsi="Times New Roman" w:cs="Times New Roman"/>
          <w:sz w:val="24"/>
          <w:szCs w:val="24"/>
          <w:lang w:val="bg-BG"/>
        </w:rPr>
      </w:pPr>
    </w:p>
    <w:p w14:paraId="27953365" w14:textId="060483D7" w:rsidR="00F86383" w:rsidRPr="00F20C1F" w:rsidRDefault="00F86383" w:rsidP="004E4E09">
      <w:pPr>
        <w:pStyle w:val="ListParagraph"/>
        <w:numPr>
          <w:ilvl w:val="1"/>
          <w:numId w:val="17"/>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sz w:val="24"/>
          <w:szCs w:val="24"/>
          <w:lang w:val="bg-BG"/>
        </w:rPr>
        <w:t xml:space="preserve"> </w:t>
      </w:r>
      <w:r w:rsidR="00741B84" w:rsidRPr="00F20C1F">
        <w:rPr>
          <w:rFonts w:ascii="Times New Roman" w:hAnsi="Times New Roman" w:cs="Times New Roman"/>
          <w:sz w:val="24"/>
          <w:szCs w:val="24"/>
        </w:rPr>
        <w:t xml:space="preserve">There is increasing data that IVS8-5T </w:t>
      </w:r>
      <w:r w:rsidR="00EC52F3" w:rsidRPr="00F20C1F">
        <w:rPr>
          <w:rFonts w:ascii="Times New Roman" w:hAnsi="Times New Roman" w:cs="Times New Roman"/>
          <w:sz w:val="24"/>
          <w:szCs w:val="24"/>
        </w:rPr>
        <w:t>variant</w:t>
      </w:r>
      <w:r w:rsidR="00741B84" w:rsidRPr="00F20C1F">
        <w:rPr>
          <w:rFonts w:ascii="Times New Roman" w:hAnsi="Times New Roman" w:cs="Times New Roman"/>
          <w:sz w:val="24"/>
          <w:szCs w:val="24"/>
        </w:rPr>
        <w:t xml:space="preserve"> and TG repeats could lead to impaired spermatogenesis. To investigate this, we performed Sanger sequencing on 50 Bulgarian men with a sperm count below 5 x 10</w:t>
      </w:r>
      <w:r w:rsidR="00741B84" w:rsidRPr="00F20C1F">
        <w:rPr>
          <w:rFonts w:ascii="Times New Roman" w:hAnsi="Times New Roman" w:cs="Times New Roman"/>
          <w:sz w:val="24"/>
          <w:szCs w:val="24"/>
          <w:vertAlign w:val="superscript"/>
        </w:rPr>
        <w:t>6</w:t>
      </w:r>
      <w:r w:rsidR="00741B84" w:rsidRPr="00F20C1F">
        <w:rPr>
          <w:rFonts w:ascii="Times New Roman" w:hAnsi="Times New Roman" w:cs="Times New Roman"/>
          <w:sz w:val="24"/>
          <w:szCs w:val="24"/>
        </w:rPr>
        <w:t xml:space="preserve"> /mL and 20 normal fertile men. Frequencies of the results were compared among the two groups. A meta-analysis was </w:t>
      </w:r>
      <w:r w:rsidR="00EC52F3" w:rsidRPr="00F20C1F">
        <w:rPr>
          <w:rFonts w:ascii="Times New Roman" w:hAnsi="Times New Roman" w:cs="Times New Roman"/>
          <w:sz w:val="24"/>
          <w:szCs w:val="24"/>
        </w:rPr>
        <w:t>performed</w:t>
      </w:r>
      <w:r w:rsidR="00741B84" w:rsidRPr="00F20C1F">
        <w:rPr>
          <w:rFonts w:ascii="Times New Roman" w:hAnsi="Times New Roman" w:cs="Times New Roman"/>
          <w:sz w:val="24"/>
          <w:szCs w:val="24"/>
        </w:rPr>
        <w:t xml:space="preserve"> by using the data for 6,423 patients and 5,834 control subjects, tested for the IVS8-5T polymorphism. One case subject (2.0%) was homozygote for the 5 T/5T variant whereas two (4.0%) were heterozygotes for the 5 T/7T variant. No 5 T alleles were found in the control group. The genotypes of the two groups showed a statistically significant difference (p = 0.04, a &lt; 0.05). Also, the odds ratio was 3.73, but this was unsignificant (p = 0.38). All control subjects had 11 TG repeats and for the test group: 47 (94.0%) men with 11 TG repeats and three (6.00%) with 10 TG repeats. Fisher’s test showed no significant difference (p = 0.55). The meta-analysis showed that IVS8-5T variant was a risk factor for impaired spermatogenesis (OR = 2.84, p &lt; 0.05) and this was more prominent for non-European (OR = 4.50, p &lt; 0.05) compared to European (OR = 1.28, p &lt; 0.05) men. The IVS8 - 5 T variant could be associated with disorders of sperm production</w:t>
      </w:r>
      <w:r w:rsidR="004E4E09" w:rsidRPr="00F20C1F">
        <w:rPr>
          <w:rFonts w:ascii="Times New Roman" w:hAnsi="Times New Roman" w:cs="Times New Roman"/>
          <w:sz w:val="24"/>
          <w:szCs w:val="24"/>
          <w:lang w:val="bg-BG"/>
        </w:rPr>
        <w:t>.</w:t>
      </w:r>
    </w:p>
    <w:p w14:paraId="6E8A5777" w14:textId="77777777" w:rsidR="004E4E09" w:rsidRPr="00F20C1F" w:rsidRDefault="004E4E09" w:rsidP="004E4E09">
      <w:pPr>
        <w:pStyle w:val="ListParagraph"/>
        <w:ind w:left="993"/>
        <w:jc w:val="both"/>
        <w:rPr>
          <w:rFonts w:ascii="Times New Roman" w:hAnsi="Times New Roman" w:cs="Times New Roman"/>
          <w:sz w:val="24"/>
          <w:szCs w:val="24"/>
          <w:lang w:val="bg-BG"/>
        </w:rPr>
      </w:pPr>
    </w:p>
    <w:p w14:paraId="1B8D4E5D" w14:textId="3E9370AA" w:rsidR="00161774" w:rsidRPr="000477B4" w:rsidRDefault="00EC52F3" w:rsidP="00F86383">
      <w:pPr>
        <w:pStyle w:val="ListParagraph"/>
        <w:numPr>
          <w:ilvl w:val="0"/>
          <w:numId w:val="4"/>
        </w:numPr>
        <w:jc w:val="both"/>
        <w:rPr>
          <w:rFonts w:ascii="Times New Roman" w:hAnsi="Times New Roman" w:cs="Times New Roman"/>
          <w:sz w:val="24"/>
          <w:szCs w:val="24"/>
          <w:lang w:val="bg-BG"/>
        </w:rPr>
      </w:pPr>
      <w:r w:rsidRPr="000477B4">
        <w:rPr>
          <w:rFonts w:ascii="Times New Roman" w:hAnsi="Times New Roman" w:cs="Times New Roman"/>
          <w:b/>
          <w:bCs/>
          <w:sz w:val="24"/>
          <w:szCs w:val="24"/>
          <w:lang w:val="bg-BG"/>
        </w:rPr>
        <w:t>Levkova M</w:t>
      </w:r>
      <w:r w:rsidRPr="000477B4">
        <w:rPr>
          <w:rFonts w:ascii="Times New Roman" w:hAnsi="Times New Roman" w:cs="Times New Roman"/>
          <w:sz w:val="24"/>
          <w:szCs w:val="24"/>
          <w:lang w:val="bg-BG"/>
        </w:rPr>
        <w:t xml:space="preserve">.,Stoyanova M., Benkova-Petrova M., Georgieva M., Angelova L. </w:t>
      </w:r>
      <w:r w:rsidRPr="000477B4">
        <w:rPr>
          <w:rFonts w:ascii="Times New Roman" w:hAnsi="Times New Roman" w:cs="Times New Roman"/>
          <w:i/>
          <w:iCs/>
          <w:sz w:val="24"/>
          <w:szCs w:val="24"/>
          <w:lang w:val="bg-BG"/>
        </w:rPr>
        <w:t>Variants of uncertain significance in the era of next generation sequencing</w:t>
      </w:r>
      <w:r w:rsidRPr="000477B4">
        <w:rPr>
          <w:rFonts w:ascii="Times New Roman" w:hAnsi="Times New Roman" w:cs="Times New Roman"/>
          <w:sz w:val="24"/>
          <w:szCs w:val="24"/>
          <w:lang w:val="bg-BG"/>
        </w:rPr>
        <w:t>. Journal of the American Association of Nurse Practitioners. 2022 Jun 22; 10-1097 (IF 1.370) Q2</w:t>
      </w:r>
    </w:p>
    <w:p w14:paraId="1D578A07" w14:textId="30EEBE58" w:rsidR="00F86383" w:rsidRPr="00F20C1F" w:rsidRDefault="00F86383" w:rsidP="004E4E09">
      <w:pPr>
        <w:pStyle w:val="ListParagraph"/>
        <w:numPr>
          <w:ilvl w:val="1"/>
          <w:numId w:val="16"/>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11" w:name="_Hlk144325119"/>
      <w:r w:rsidR="004E4E09" w:rsidRPr="00F20C1F">
        <w:rPr>
          <w:rFonts w:ascii="Times New Roman" w:hAnsi="Times New Roman" w:cs="Times New Roman"/>
          <w:sz w:val="24"/>
          <w:szCs w:val="24"/>
          <w:lang w:val="bg-BG"/>
        </w:rPr>
        <w:t xml:space="preserve">Секвенирането от следващо поколение (NGS) вече се използва </w:t>
      </w:r>
      <w:r w:rsidR="000477B4">
        <w:rPr>
          <w:rFonts w:ascii="Times New Roman" w:hAnsi="Times New Roman" w:cs="Times New Roman"/>
          <w:sz w:val="24"/>
          <w:szCs w:val="24"/>
          <w:lang w:val="bg-BG"/>
        </w:rPr>
        <w:t>повсевместно</w:t>
      </w:r>
      <w:r w:rsidR="004E4E09" w:rsidRPr="00F20C1F">
        <w:rPr>
          <w:rFonts w:ascii="Times New Roman" w:hAnsi="Times New Roman" w:cs="Times New Roman"/>
          <w:sz w:val="24"/>
          <w:szCs w:val="24"/>
          <w:lang w:val="bg-BG"/>
        </w:rPr>
        <w:t xml:space="preserve"> при диагностицирането на редки заболявания. Въпреки това т</w:t>
      </w:r>
      <w:r w:rsidR="000477B4">
        <w:rPr>
          <w:rFonts w:ascii="Times New Roman" w:hAnsi="Times New Roman" w:cs="Times New Roman"/>
          <w:sz w:val="24"/>
          <w:szCs w:val="24"/>
          <w:lang w:val="bg-BG"/>
        </w:rPr>
        <w:t>о</w:t>
      </w:r>
      <w:r w:rsidR="004E4E09" w:rsidRPr="00F20C1F">
        <w:rPr>
          <w:rFonts w:ascii="Times New Roman" w:hAnsi="Times New Roman" w:cs="Times New Roman"/>
          <w:sz w:val="24"/>
          <w:szCs w:val="24"/>
          <w:lang w:val="bg-BG"/>
        </w:rPr>
        <w:t xml:space="preserve"> има някои ограничения, като например варианти</w:t>
      </w:r>
      <w:r w:rsidR="000477B4">
        <w:rPr>
          <w:rFonts w:ascii="Times New Roman" w:hAnsi="Times New Roman" w:cs="Times New Roman"/>
          <w:sz w:val="24"/>
          <w:szCs w:val="24"/>
          <w:lang w:val="bg-BG"/>
        </w:rPr>
        <w:t>те</w:t>
      </w:r>
      <w:r w:rsidR="004E4E09" w:rsidRPr="00F20C1F">
        <w:rPr>
          <w:rFonts w:ascii="Times New Roman" w:hAnsi="Times New Roman" w:cs="Times New Roman"/>
          <w:sz w:val="24"/>
          <w:szCs w:val="24"/>
          <w:lang w:val="bg-BG"/>
        </w:rPr>
        <w:t xml:space="preserve"> с </w:t>
      </w:r>
      <w:r w:rsidR="000477B4">
        <w:rPr>
          <w:rFonts w:ascii="Times New Roman" w:hAnsi="Times New Roman" w:cs="Times New Roman"/>
          <w:sz w:val="24"/>
          <w:szCs w:val="24"/>
          <w:lang w:val="bg-BG"/>
        </w:rPr>
        <w:t>неясно значение</w:t>
      </w:r>
      <w:r w:rsidR="004E4E09" w:rsidRPr="00F20C1F">
        <w:rPr>
          <w:rFonts w:ascii="Times New Roman" w:hAnsi="Times New Roman" w:cs="Times New Roman"/>
          <w:sz w:val="24"/>
          <w:szCs w:val="24"/>
          <w:lang w:val="bg-BG"/>
        </w:rPr>
        <w:t xml:space="preserve"> (VUS). Това може да създаде трудности дори за </w:t>
      </w:r>
      <w:r w:rsidR="000477B4">
        <w:rPr>
          <w:rFonts w:ascii="Times New Roman" w:hAnsi="Times New Roman" w:cs="Times New Roman"/>
          <w:sz w:val="24"/>
          <w:szCs w:val="24"/>
          <w:lang w:val="bg-BG"/>
        </w:rPr>
        <w:t>специлизираните</w:t>
      </w:r>
      <w:r w:rsidR="004E4E09" w:rsidRPr="00F20C1F">
        <w:rPr>
          <w:rFonts w:ascii="Times New Roman" w:hAnsi="Times New Roman" w:cs="Times New Roman"/>
          <w:sz w:val="24"/>
          <w:szCs w:val="24"/>
          <w:lang w:val="bg-BG"/>
        </w:rPr>
        <w:t xml:space="preserve"> медицински сестри, които се занимават с клинична генетика. Представяме три случая от нашата клинична практика: два </w:t>
      </w:r>
      <w:r w:rsidR="000477B4">
        <w:rPr>
          <w:rFonts w:ascii="Times New Roman" w:hAnsi="Times New Roman" w:cs="Times New Roman"/>
          <w:sz w:val="24"/>
          <w:szCs w:val="24"/>
          <w:lang w:val="bg-BG"/>
        </w:rPr>
        <w:t>таргетни</w:t>
      </w:r>
      <w:r w:rsidR="004E4E09" w:rsidRPr="00F20C1F">
        <w:rPr>
          <w:rFonts w:ascii="Times New Roman" w:hAnsi="Times New Roman" w:cs="Times New Roman"/>
          <w:sz w:val="24"/>
          <w:szCs w:val="24"/>
          <w:lang w:val="bg-BG"/>
        </w:rPr>
        <w:t xml:space="preserve"> панелни </w:t>
      </w:r>
      <w:r w:rsidR="000477B4">
        <w:rPr>
          <w:rFonts w:ascii="Times New Roman" w:hAnsi="Times New Roman" w:cs="Times New Roman"/>
          <w:sz w:val="24"/>
          <w:szCs w:val="24"/>
          <w:lang w:val="bg-BG"/>
        </w:rPr>
        <w:t>анализа</w:t>
      </w:r>
      <w:r w:rsidR="004E4E09" w:rsidRPr="00F20C1F">
        <w:rPr>
          <w:rFonts w:ascii="Times New Roman" w:hAnsi="Times New Roman" w:cs="Times New Roman"/>
          <w:sz w:val="24"/>
          <w:szCs w:val="24"/>
          <w:lang w:val="bg-BG"/>
        </w:rPr>
        <w:t xml:space="preserve"> и ед</w:t>
      </w:r>
      <w:r w:rsidR="000477B4">
        <w:rPr>
          <w:rFonts w:ascii="Times New Roman" w:hAnsi="Times New Roman" w:cs="Times New Roman"/>
          <w:sz w:val="24"/>
          <w:szCs w:val="24"/>
          <w:lang w:val="bg-BG"/>
        </w:rPr>
        <w:t>но</w:t>
      </w:r>
      <w:r w:rsidR="004E4E09" w:rsidRPr="00F20C1F">
        <w:rPr>
          <w:rFonts w:ascii="Times New Roman" w:hAnsi="Times New Roman" w:cs="Times New Roman"/>
          <w:sz w:val="24"/>
          <w:szCs w:val="24"/>
          <w:lang w:val="bg-BG"/>
        </w:rPr>
        <w:t xml:space="preserve"> екзомно секвениране. </w:t>
      </w:r>
      <w:r w:rsidR="000477B4">
        <w:rPr>
          <w:rFonts w:ascii="Times New Roman" w:hAnsi="Times New Roman" w:cs="Times New Roman"/>
          <w:sz w:val="24"/>
          <w:szCs w:val="24"/>
          <w:lang w:val="bg-BG"/>
        </w:rPr>
        <w:t xml:space="preserve">Взетите кръвни проби </w:t>
      </w:r>
      <w:r w:rsidR="004E4E09" w:rsidRPr="00F20C1F">
        <w:rPr>
          <w:rFonts w:ascii="Times New Roman" w:hAnsi="Times New Roman" w:cs="Times New Roman"/>
          <w:sz w:val="24"/>
          <w:szCs w:val="24"/>
          <w:lang w:val="bg-BG"/>
        </w:rPr>
        <w:t xml:space="preserve">са изпратени за NGS анализ. В случай 1 е открит VUS в гена </w:t>
      </w:r>
      <w:r w:rsidR="004E4E09" w:rsidRPr="000477B4">
        <w:rPr>
          <w:rFonts w:ascii="Times New Roman" w:hAnsi="Times New Roman" w:cs="Times New Roman"/>
          <w:i/>
          <w:iCs/>
          <w:sz w:val="24"/>
          <w:szCs w:val="24"/>
          <w:lang w:val="bg-BG"/>
        </w:rPr>
        <w:t>LITAF</w:t>
      </w:r>
      <w:r w:rsidR="004E4E09" w:rsidRPr="00F20C1F">
        <w:rPr>
          <w:rFonts w:ascii="Times New Roman" w:hAnsi="Times New Roman" w:cs="Times New Roman"/>
          <w:sz w:val="24"/>
          <w:szCs w:val="24"/>
          <w:lang w:val="bg-BG"/>
        </w:rPr>
        <w:t xml:space="preserve">, който се свързва с автозомно-доминантната болест Charcot-Marie-Tooth тип 1C. При случай 2 е докладван VUS в гена </w:t>
      </w:r>
      <w:r w:rsidR="004E4E09" w:rsidRPr="000477B4">
        <w:rPr>
          <w:rFonts w:ascii="Times New Roman" w:hAnsi="Times New Roman" w:cs="Times New Roman"/>
          <w:i/>
          <w:iCs/>
          <w:sz w:val="24"/>
          <w:szCs w:val="24"/>
          <w:lang w:val="bg-BG"/>
        </w:rPr>
        <w:t>MEFV</w:t>
      </w:r>
      <w:r w:rsidR="004E4E09" w:rsidRPr="00F20C1F">
        <w:rPr>
          <w:rFonts w:ascii="Times New Roman" w:hAnsi="Times New Roman" w:cs="Times New Roman"/>
          <w:sz w:val="24"/>
          <w:szCs w:val="24"/>
          <w:lang w:val="bg-BG"/>
        </w:rPr>
        <w:t xml:space="preserve">, който се свързва с автозомно-рецесивна и автозомно-доминантна фамилна средиземноморска треска. В тези случаи отчетеният VUS съответства на клиничната диагноза. В случай 3 са открити два варианта в хетерозиготно състояние в гена </w:t>
      </w:r>
      <w:r w:rsidR="004E4E09" w:rsidRPr="000477B4">
        <w:rPr>
          <w:rFonts w:ascii="Times New Roman" w:hAnsi="Times New Roman" w:cs="Times New Roman"/>
          <w:i/>
          <w:iCs/>
          <w:sz w:val="24"/>
          <w:szCs w:val="24"/>
          <w:lang w:val="bg-BG"/>
        </w:rPr>
        <w:t>ATP7B</w:t>
      </w:r>
      <w:r w:rsidR="004E4E09" w:rsidRPr="00F20C1F">
        <w:rPr>
          <w:rFonts w:ascii="Times New Roman" w:hAnsi="Times New Roman" w:cs="Times New Roman"/>
          <w:sz w:val="24"/>
          <w:szCs w:val="24"/>
          <w:lang w:val="bg-BG"/>
        </w:rPr>
        <w:t xml:space="preserve">, който се свързва с болестта на Уилсън, и по-късно заболяването е клинично </w:t>
      </w:r>
      <w:r w:rsidR="000477B4">
        <w:rPr>
          <w:rFonts w:ascii="Times New Roman" w:hAnsi="Times New Roman" w:cs="Times New Roman"/>
          <w:sz w:val="24"/>
          <w:szCs w:val="24"/>
          <w:lang w:val="bg-BG"/>
        </w:rPr>
        <w:t>диагностицирано</w:t>
      </w:r>
      <w:r w:rsidR="004E4E09" w:rsidRPr="00F20C1F">
        <w:rPr>
          <w:rFonts w:ascii="Times New Roman" w:hAnsi="Times New Roman" w:cs="Times New Roman"/>
          <w:sz w:val="24"/>
          <w:szCs w:val="24"/>
          <w:lang w:val="bg-BG"/>
        </w:rPr>
        <w:t xml:space="preserve">. Според публикуваните насоки, </w:t>
      </w:r>
      <w:r w:rsidR="000477B4">
        <w:rPr>
          <w:rFonts w:ascii="Times New Roman" w:hAnsi="Times New Roman" w:cs="Times New Roman"/>
          <w:sz w:val="24"/>
          <w:szCs w:val="24"/>
        </w:rPr>
        <w:t>VUS</w:t>
      </w:r>
      <w:r w:rsidR="004E4E09" w:rsidRPr="00F20C1F">
        <w:rPr>
          <w:rFonts w:ascii="Times New Roman" w:hAnsi="Times New Roman" w:cs="Times New Roman"/>
          <w:sz w:val="24"/>
          <w:szCs w:val="24"/>
          <w:lang w:val="bg-BG"/>
        </w:rPr>
        <w:t xml:space="preserve"> не трябва да се обсъждат като причина за наблюдавано</w:t>
      </w:r>
      <w:r w:rsidR="000477B4">
        <w:rPr>
          <w:rFonts w:ascii="Times New Roman" w:hAnsi="Times New Roman" w:cs="Times New Roman"/>
          <w:sz w:val="24"/>
          <w:szCs w:val="24"/>
          <w:lang w:val="bg-BG"/>
        </w:rPr>
        <w:t>то</w:t>
      </w:r>
      <w:r w:rsidR="004E4E09" w:rsidRPr="00F20C1F">
        <w:rPr>
          <w:rFonts w:ascii="Times New Roman" w:hAnsi="Times New Roman" w:cs="Times New Roman"/>
          <w:sz w:val="24"/>
          <w:szCs w:val="24"/>
          <w:lang w:val="bg-BG"/>
        </w:rPr>
        <w:t xml:space="preserve"> генетично състояние. Независимо от това, ако докладваният </w:t>
      </w:r>
      <w:r w:rsidR="004E4E09" w:rsidRPr="00F20C1F">
        <w:rPr>
          <w:rFonts w:ascii="Times New Roman" w:hAnsi="Times New Roman" w:cs="Times New Roman"/>
          <w:sz w:val="24"/>
          <w:szCs w:val="24"/>
          <w:lang w:val="bg-BG"/>
        </w:rPr>
        <w:lastRenderedPageBreak/>
        <w:t xml:space="preserve">вариант е в ген, свързан с клинично диагностицираното </w:t>
      </w:r>
      <w:r w:rsidR="000477B4">
        <w:rPr>
          <w:rFonts w:ascii="Times New Roman" w:hAnsi="Times New Roman" w:cs="Times New Roman"/>
          <w:sz w:val="24"/>
          <w:szCs w:val="24"/>
          <w:lang w:val="bg-BG"/>
        </w:rPr>
        <w:t>нарушение,</w:t>
      </w:r>
      <w:r w:rsidR="004E4E09" w:rsidRPr="00F20C1F">
        <w:rPr>
          <w:rFonts w:ascii="Times New Roman" w:hAnsi="Times New Roman" w:cs="Times New Roman"/>
          <w:sz w:val="24"/>
          <w:szCs w:val="24"/>
          <w:lang w:val="bg-BG"/>
        </w:rPr>
        <w:t xml:space="preserve"> и има силна корелация между генотип и фенотип, това може да подсказва за етиологичната роля на този вариант.</w:t>
      </w:r>
      <w:bookmarkEnd w:id="11"/>
    </w:p>
    <w:p w14:paraId="36EED136" w14:textId="77777777" w:rsidR="004E4E09" w:rsidRPr="00F20C1F" w:rsidRDefault="004E4E09" w:rsidP="004E4E09">
      <w:pPr>
        <w:pStyle w:val="ListParagraph"/>
        <w:ind w:left="993"/>
        <w:jc w:val="both"/>
        <w:rPr>
          <w:rFonts w:ascii="Times New Roman" w:hAnsi="Times New Roman" w:cs="Times New Roman"/>
          <w:sz w:val="24"/>
          <w:szCs w:val="24"/>
          <w:lang w:val="bg-BG"/>
        </w:rPr>
      </w:pPr>
    </w:p>
    <w:p w14:paraId="4256F1CB" w14:textId="155945D2" w:rsidR="00F86383" w:rsidRPr="00F20C1F" w:rsidRDefault="00F86383" w:rsidP="004E4E09">
      <w:pPr>
        <w:pStyle w:val="ListParagraph"/>
        <w:numPr>
          <w:ilvl w:val="1"/>
          <w:numId w:val="16"/>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rPr>
        <w:t>Abstract:</w:t>
      </w:r>
      <w:r w:rsidRPr="00F20C1F">
        <w:rPr>
          <w:rFonts w:ascii="Times New Roman" w:hAnsi="Times New Roman" w:cs="Times New Roman"/>
          <w:b/>
          <w:bCs/>
          <w:sz w:val="24"/>
          <w:szCs w:val="24"/>
          <w:lang w:val="bg-BG"/>
        </w:rPr>
        <w:t xml:space="preserve"> </w:t>
      </w:r>
      <w:r w:rsidR="00EC52F3" w:rsidRPr="00F20C1F">
        <w:rPr>
          <w:rFonts w:ascii="Times New Roman" w:hAnsi="Times New Roman" w:cs="Times New Roman"/>
          <w:sz w:val="24"/>
          <w:szCs w:val="24"/>
        </w:rPr>
        <w:t>Next-generation sequencing (NGS) is now widely used in diagnosing rare diseases. However, it has some limitations, such as variants of uncertain significance (VUS). This can present difficulties even for nurse practitioners involved in clinical genetics. We present three cases from our clinical practice: two targeted panel testing and one exome sequencing. Whole blood samples were collected and sent for NGS analysis. In case 1, a VUS was found in the </w:t>
      </w:r>
      <w:r w:rsidR="00EC52F3" w:rsidRPr="00F20C1F">
        <w:rPr>
          <w:rFonts w:ascii="Times New Roman" w:hAnsi="Times New Roman" w:cs="Times New Roman"/>
          <w:i/>
          <w:iCs/>
          <w:sz w:val="24"/>
          <w:szCs w:val="24"/>
        </w:rPr>
        <w:t>LITAF</w:t>
      </w:r>
      <w:r w:rsidR="00EC52F3" w:rsidRPr="00F20C1F">
        <w:rPr>
          <w:rFonts w:ascii="Times New Roman" w:hAnsi="Times New Roman" w:cs="Times New Roman"/>
          <w:sz w:val="24"/>
          <w:szCs w:val="24"/>
        </w:rPr>
        <w:t> gene, which is associated with autosomal dominant Charcot–Marie–Tooth disease type 1C. In case 2, a VUS was reported in the </w:t>
      </w:r>
      <w:r w:rsidR="00EC52F3" w:rsidRPr="00F20C1F">
        <w:rPr>
          <w:rFonts w:ascii="Times New Roman" w:hAnsi="Times New Roman" w:cs="Times New Roman"/>
          <w:i/>
          <w:iCs/>
          <w:sz w:val="24"/>
          <w:szCs w:val="24"/>
        </w:rPr>
        <w:t>MEFV</w:t>
      </w:r>
      <w:r w:rsidR="00EC52F3" w:rsidRPr="00F20C1F">
        <w:rPr>
          <w:rFonts w:ascii="Times New Roman" w:hAnsi="Times New Roman" w:cs="Times New Roman"/>
          <w:sz w:val="24"/>
          <w:szCs w:val="24"/>
        </w:rPr>
        <w:t> gene, which is associated with autosomal recessive and autosomal dominant familial Mediterranean fever. In these cases, the reported VUS corresponded to the clinical diagnosis. In case 3, two variants in the heterozygous state were found in the </w:t>
      </w:r>
      <w:r w:rsidR="00EC52F3" w:rsidRPr="00F20C1F">
        <w:rPr>
          <w:rFonts w:ascii="Times New Roman" w:hAnsi="Times New Roman" w:cs="Times New Roman"/>
          <w:i/>
          <w:iCs/>
          <w:sz w:val="24"/>
          <w:szCs w:val="24"/>
        </w:rPr>
        <w:t>ATP7B</w:t>
      </w:r>
      <w:r w:rsidR="00EC52F3" w:rsidRPr="00F20C1F">
        <w:rPr>
          <w:rFonts w:ascii="Times New Roman" w:hAnsi="Times New Roman" w:cs="Times New Roman"/>
          <w:sz w:val="24"/>
          <w:szCs w:val="24"/>
        </w:rPr>
        <w:t> gene, which is associated with Wilson disease, and the disorder was later clinically recognized. According to the published guidelines, VUSs should not be discussed as a cause for an observed genetic condition. Nevertheless, if the reported variant is in a gene associated with the clinically diagnosed disorder, and there is a strong genotype-phenotype correlation, it could be suggestive of the etiological role of this variant.</w:t>
      </w:r>
    </w:p>
    <w:p w14:paraId="78D9C1EB" w14:textId="77777777" w:rsidR="004E4E09" w:rsidRPr="00F20C1F" w:rsidRDefault="004E4E09" w:rsidP="004E4E09">
      <w:pPr>
        <w:pStyle w:val="ListParagraph"/>
        <w:ind w:left="993"/>
        <w:jc w:val="both"/>
        <w:rPr>
          <w:rFonts w:ascii="Times New Roman" w:hAnsi="Times New Roman" w:cs="Times New Roman"/>
          <w:sz w:val="24"/>
          <w:szCs w:val="24"/>
          <w:lang w:val="bg-BG"/>
        </w:rPr>
      </w:pPr>
    </w:p>
    <w:p w14:paraId="11AEE24C" w14:textId="5FBC5CE0" w:rsidR="00EC52F3" w:rsidRPr="00921280" w:rsidRDefault="00EC52F3" w:rsidP="00EC52F3">
      <w:pPr>
        <w:pStyle w:val="ListParagraph"/>
        <w:numPr>
          <w:ilvl w:val="0"/>
          <w:numId w:val="4"/>
        </w:numPr>
        <w:jc w:val="both"/>
        <w:rPr>
          <w:rFonts w:ascii="Times New Roman" w:hAnsi="Times New Roman" w:cs="Times New Roman"/>
          <w:sz w:val="24"/>
          <w:szCs w:val="24"/>
        </w:rPr>
      </w:pPr>
      <w:proofErr w:type="spellStart"/>
      <w:r w:rsidRPr="00921280">
        <w:rPr>
          <w:rFonts w:ascii="Times New Roman" w:hAnsi="Times New Roman" w:cs="Times New Roman"/>
          <w:sz w:val="24"/>
          <w:szCs w:val="24"/>
        </w:rPr>
        <w:t>Tsalta</w:t>
      </w:r>
      <w:proofErr w:type="spellEnd"/>
      <w:r w:rsidRPr="00921280">
        <w:rPr>
          <w:rFonts w:ascii="Times New Roman" w:hAnsi="Times New Roman" w:cs="Times New Roman"/>
          <w:sz w:val="24"/>
          <w:szCs w:val="24"/>
        </w:rPr>
        <w:t xml:space="preserve">-Mladenov, M., </w:t>
      </w:r>
      <w:r w:rsidRPr="00921280">
        <w:rPr>
          <w:rFonts w:ascii="Times New Roman" w:hAnsi="Times New Roman" w:cs="Times New Roman"/>
          <w:b/>
          <w:bCs/>
          <w:sz w:val="24"/>
          <w:szCs w:val="24"/>
        </w:rPr>
        <w:t>Levkova, M</w:t>
      </w:r>
      <w:r w:rsidRPr="00921280">
        <w:rPr>
          <w:rFonts w:ascii="Times New Roman" w:hAnsi="Times New Roman" w:cs="Times New Roman"/>
          <w:sz w:val="24"/>
          <w:szCs w:val="24"/>
        </w:rPr>
        <w:t xml:space="preserve">., Georgieva, D. and Andonova, S., 2023. </w:t>
      </w:r>
      <w:r w:rsidRPr="00921280">
        <w:rPr>
          <w:rFonts w:ascii="Times New Roman" w:hAnsi="Times New Roman" w:cs="Times New Roman"/>
          <w:i/>
          <w:iCs/>
          <w:sz w:val="24"/>
          <w:szCs w:val="24"/>
        </w:rPr>
        <w:t>Congenital myasthenic syndrome due to a genetic mutation</w:t>
      </w:r>
      <w:r w:rsidRPr="00921280">
        <w:rPr>
          <w:rFonts w:ascii="Times New Roman" w:hAnsi="Times New Roman" w:cs="Times New Roman"/>
          <w:sz w:val="24"/>
          <w:szCs w:val="24"/>
        </w:rPr>
        <w:t>. Journal of the American Association of Nurse Practitioners, pp.10-1097 (IF 1.495) Q2</w:t>
      </w:r>
    </w:p>
    <w:p w14:paraId="5371C7E0" w14:textId="088B8711" w:rsidR="00EC52F3" w:rsidRPr="00F20C1F" w:rsidRDefault="00EC52F3" w:rsidP="00AA0C02">
      <w:pPr>
        <w:pStyle w:val="ListParagraph"/>
        <w:numPr>
          <w:ilvl w:val="1"/>
          <w:numId w:val="4"/>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12" w:name="_Hlk144325145"/>
      <w:r w:rsidR="004E4E09" w:rsidRPr="00F20C1F">
        <w:rPr>
          <w:rFonts w:ascii="Times New Roman" w:hAnsi="Times New Roman" w:cs="Times New Roman"/>
          <w:sz w:val="24"/>
          <w:szCs w:val="24"/>
          <w:lang w:val="bg-BG"/>
        </w:rPr>
        <w:t xml:space="preserve">Вроденият миастеничен синдром (ВМС) </w:t>
      </w:r>
      <w:r w:rsidR="00921280">
        <w:rPr>
          <w:rFonts w:ascii="Times New Roman" w:hAnsi="Times New Roman" w:cs="Times New Roman"/>
          <w:sz w:val="24"/>
          <w:szCs w:val="24"/>
          <w:lang w:val="bg-BG"/>
        </w:rPr>
        <w:t xml:space="preserve">представлява </w:t>
      </w:r>
      <w:r w:rsidR="004E4E09" w:rsidRPr="00F20C1F">
        <w:rPr>
          <w:rFonts w:ascii="Times New Roman" w:hAnsi="Times New Roman" w:cs="Times New Roman"/>
          <w:sz w:val="24"/>
          <w:szCs w:val="24"/>
          <w:lang w:val="bg-BG"/>
        </w:rPr>
        <w:t xml:space="preserve">група от редки генетични заболявания, които имитират симптомите на миастения гравис, но се дължат на генетичен дефект. Представяме случай на пациент със </w:t>
      </w:r>
      <w:r w:rsidR="00921280">
        <w:rPr>
          <w:rFonts w:ascii="Times New Roman" w:hAnsi="Times New Roman" w:cs="Times New Roman"/>
          <w:sz w:val="24"/>
          <w:szCs w:val="24"/>
          <w:lang w:val="bg-BG"/>
        </w:rPr>
        <w:t>ВМС</w:t>
      </w:r>
      <w:r w:rsidR="004E4E09" w:rsidRPr="00F20C1F">
        <w:rPr>
          <w:rFonts w:ascii="Times New Roman" w:hAnsi="Times New Roman" w:cs="Times New Roman"/>
          <w:sz w:val="24"/>
          <w:szCs w:val="24"/>
          <w:lang w:val="bg-BG"/>
        </w:rPr>
        <w:t xml:space="preserve"> от мъжки пол и хода на заболяването през годините. Първоначално пациентът се представя с генерализирана мускулна слабост и затруднено преглъщане. По време на проследяването се появяват затруднения в дъвченето, двустранна външна офталмопареза с почти пълно блокиране на очните движения и булбарен синдром. Случаят илюстрира както клиничната хетерогенност, така и прогресивното влошаване на симптомите на заболяването през годините. Оптималното лечение на </w:t>
      </w:r>
      <w:r w:rsidR="00921280">
        <w:rPr>
          <w:rFonts w:ascii="Times New Roman" w:hAnsi="Times New Roman" w:cs="Times New Roman"/>
          <w:sz w:val="24"/>
          <w:szCs w:val="24"/>
          <w:lang w:val="bg-BG"/>
        </w:rPr>
        <w:t>ВМС</w:t>
      </w:r>
      <w:r w:rsidR="004E4E09" w:rsidRPr="00F20C1F">
        <w:rPr>
          <w:rFonts w:ascii="Times New Roman" w:hAnsi="Times New Roman" w:cs="Times New Roman"/>
          <w:sz w:val="24"/>
          <w:szCs w:val="24"/>
          <w:lang w:val="bg-BG"/>
        </w:rPr>
        <w:t xml:space="preserve"> се основава на молекулярния дефект и неговата локализация в нервно-мускулното съединение. В нашия случай лечението с пиридостигмин доведе до добър дългосрочен контрол на симптомите. В резултат на доброто спазване на лечението пациентът не </w:t>
      </w:r>
      <w:r w:rsidR="00921280">
        <w:rPr>
          <w:rFonts w:ascii="Times New Roman" w:hAnsi="Times New Roman" w:cs="Times New Roman"/>
          <w:sz w:val="24"/>
          <w:szCs w:val="24"/>
          <w:lang w:val="bg-BG"/>
        </w:rPr>
        <w:t>бил приеман</w:t>
      </w:r>
      <w:r w:rsidR="004E4E09" w:rsidRPr="00F20C1F">
        <w:rPr>
          <w:rFonts w:ascii="Times New Roman" w:hAnsi="Times New Roman" w:cs="Times New Roman"/>
          <w:sz w:val="24"/>
          <w:szCs w:val="24"/>
          <w:lang w:val="bg-BG"/>
        </w:rPr>
        <w:t xml:space="preserve"> в болница поради респираторен дистрес. Л</w:t>
      </w:r>
      <w:r w:rsidR="00921280">
        <w:rPr>
          <w:rFonts w:ascii="Times New Roman" w:hAnsi="Times New Roman" w:cs="Times New Roman"/>
          <w:sz w:val="24"/>
          <w:szCs w:val="24"/>
          <w:lang w:val="bg-BG"/>
        </w:rPr>
        <w:t>и</w:t>
      </w:r>
      <w:r w:rsidR="004E4E09" w:rsidRPr="00F20C1F">
        <w:rPr>
          <w:rFonts w:ascii="Times New Roman" w:hAnsi="Times New Roman" w:cs="Times New Roman"/>
          <w:sz w:val="24"/>
          <w:szCs w:val="24"/>
          <w:lang w:val="bg-BG"/>
        </w:rPr>
        <w:t>псата на универсален протокол за лечение на ВМС подчертава нуждата от персонализиран подход при работата с пациенти с реди заболявания.</w:t>
      </w:r>
      <w:bookmarkEnd w:id="12"/>
    </w:p>
    <w:p w14:paraId="6D82DB83" w14:textId="77777777" w:rsidR="004E4E09" w:rsidRPr="00F20C1F" w:rsidRDefault="004E4E09" w:rsidP="00AA0C02">
      <w:pPr>
        <w:pStyle w:val="ListParagraph"/>
        <w:ind w:left="993" w:hanging="142"/>
        <w:jc w:val="both"/>
        <w:rPr>
          <w:rFonts w:ascii="Times New Roman" w:hAnsi="Times New Roman" w:cs="Times New Roman"/>
          <w:sz w:val="24"/>
          <w:szCs w:val="24"/>
          <w:lang w:val="bg-BG"/>
        </w:rPr>
      </w:pPr>
    </w:p>
    <w:p w14:paraId="11A2D529" w14:textId="59695761" w:rsidR="00EC52F3" w:rsidRPr="00F20C1F" w:rsidRDefault="00EC52F3" w:rsidP="00AA0C02">
      <w:pPr>
        <w:pStyle w:val="ListParagraph"/>
        <w:numPr>
          <w:ilvl w:val="1"/>
          <w:numId w:val="4"/>
        </w:numPr>
        <w:ind w:left="993" w:hanging="142"/>
        <w:jc w:val="both"/>
        <w:rPr>
          <w:rFonts w:ascii="Times New Roman" w:hAnsi="Times New Roman" w:cs="Times New Roman"/>
          <w:sz w:val="24"/>
          <w:szCs w:val="24"/>
        </w:rPr>
      </w:pPr>
      <w:r w:rsidRPr="00F20C1F">
        <w:rPr>
          <w:rFonts w:ascii="Times New Roman" w:hAnsi="Times New Roman" w:cs="Times New Roman"/>
          <w:b/>
          <w:bCs/>
          <w:sz w:val="24"/>
          <w:szCs w:val="24"/>
        </w:rPr>
        <w:t xml:space="preserve">Abstract: </w:t>
      </w:r>
      <w:r w:rsidRPr="00F20C1F">
        <w:rPr>
          <w:rFonts w:ascii="Times New Roman" w:hAnsi="Times New Roman" w:cs="Times New Roman"/>
          <w:sz w:val="24"/>
          <w:szCs w:val="24"/>
        </w:rPr>
        <w:t xml:space="preserve">Congenital myasthenic syndrome (CMS) is a group of rare genetic disorders that mimics the symptoms of myasthenia gravis, but it is due to a genetic defect. We present a case of a male CMS patient, and the course of the disease through the years. </w:t>
      </w:r>
      <w:r w:rsidRPr="00F20C1F">
        <w:rPr>
          <w:rFonts w:ascii="Times New Roman" w:hAnsi="Times New Roman" w:cs="Times New Roman"/>
          <w:sz w:val="24"/>
          <w:szCs w:val="24"/>
        </w:rPr>
        <w:lastRenderedPageBreak/>
        <w:t xml:space="preserve">The patient initially presented with generalized muscle weakness and difficulty swallowing. During the follow-up, he developed difficulty in chewing, bilateral external </w:t>
      </w:r>
      <w:proofErr w:type="spellStart"/>
      <w:r w:rsidRPr="00F20C1F">
        <w:rPr>
          <w:rFonts w:ascii="Times New Roman" w:hAnsi="Times New Roman" w:cs="Times New Roman"/>
          <w:sz w:val="24"/>
          <w:szCs w:val="24"/>
        </w:rPr>
        <w:t>ophthalmoparesis</w:t>
      </w:r>
      <w:proofErr w:type="spellEnd"/>
      <w:r w:rsidRPr="00F20C1F">
        <w:rPr>
          <w:rFonts w:ascii="Times New Roman" w:hAnsi="Times New Roman" w:cs="Times New Roman"/>
          <w:sz w:val="24"/>
          <w:szCs w:val="24"/>
        </w:rPr>
        <w:t xml:space="preserve"> with an almost full block of eye movements and bulbar syndrome. The case illustrates both the clinical heterogeneity and the progressive worsening of the symptoms of the disease over the years. The optimal treatment for CMS is based on the molecular defect and its localization in the neuromuscular junction. In our case, treatment with pyridostigmine resulted in good long-term control of symptoms. As a result of the patient’s good compliance with treatment, he was not admitted to hospital because of respiratory distress. The lack of a unified protocol for the treatment of CMS highlights the need for a more personalized approach when dealing with patients with rare diseases.</w:t>
      </w:r>
    </w:p>
    <w:p w14:paraId="55512452" w14:textId="77777777" w:rsidR="004E4E09" w:rsidRPr="00F20C1F" w:rsidRDefault="004E4E09" w:rsidP="004E4E09">
      <w:pPr>
        <w:pStyle w:val="ListParagraph"/>
        <w:ind w:left="1637"/>
        <w:jc w:val="both"/>
        <w:rPr>
          <w:rFonts w:ascii="Times New Roman" w:hAnsi="Times New Roman" w:cs="Times New Roman"/>
          <w:sz w:val="24"/>
          <w:szCs w:val="24"/>
        </w:rPr>
      </w:pPr>
    </w:p>
    <w:p w14:paraId="2624016B" w14:textId="2FCD9391" w:rsidR="00F36132" w:rsidRPr="00603D5B" w:rsidRDefault="00F36132" w:rsidP="00F36132">
      <w:pPr>
        <w:pStyle w:val="ListParagraph"/>
        <w:numPr>
          <w:ilvl w:val="0"/>
          <w:numId w:val="4"/>
        </w:numPr>
        <w:jc w:val="both"/>
        <w:rPr>
          <w:rFonts w:ascii="Times New Roman" w:hAnsi="Times New Roman" w:cs="Times New Roman"/>
          <w:sz w:val="24"/>
          <w:szCs w:val="24"/>
        </w:rPr>
      </w:pPr>
      <w:r w:rsidRPr="00603D5B">
        <w:rPr>
          <w:rFonts w:ascii="Times New Roman" w:hAnsi="Times New Roman" w:cs="Times New Roman"/>
          <w:b/>
          <w:bCs/>
          <w:sz w:val="24"/>
          <w:szCs w:val="24"/>
        </w:rPr>
        <w:t>Levkova M</w:t>
      </w:r>
      <w:r w:rsidRPr="00603D5B">
        <w:rPr>
          <w:rFonts w:ascii="Times New Roman" w:hAnsi="Times New Roman" w:cs="Times New Roman"/>
          <w:sz w:val="24"/>
          <w:szCs w:val="24"/>
        </w:rPr>
        <w:t xml:space="preserve">, Chervenkov T, </w:t>
      </w:r>
      <w:proofErr w:type="spellStart"/>
      <w:r w:rsidRPr="00603D5B">
        <w:rPr>
          <w:rFonts w:ascii="Times New Roman" w:hAnsi="Times New Roman" w:cs="Times New Roman"/>
          <w:sz w:val="24"/>
          <w:szCs w:val="24"/>
        </w:rPr>
        <w:t>Pancheva</w:t>
      </w:r>
      <w:proofErr w:type="spellEnd"/>
      <w:r w:rsidRPr="00603D5B">
        <w:rPr>
          <w:rFonts w:ascii="Times New Roman" w:hAnsi="Times New Roman" w:cs="Times New Roman"/>
          <w:sz w:val="24"/>
          <w:szCs w:val="24"/>
        </w:rPr>
        <w:t xml:space="preserve"> R. </w:t>
      </w:r>
      <w:r w:rsidRPr="00603D5B">
        <w:rPr>
          <w:rFonts w:ascii="Times New Roman" w:hAnsi="Times New Roman" w:cs="Times New Roman"/>
          <w:i/>
          <w:iCs/>
          <w:sz w:val="24"/>
          <w:szCs w:val="24"/>
        </w:rPr>
        <w:t>Genus-Level Analysis of Gut Microbiota in Children with Autism Spectrum Disorder: A Mini Review</w:t>
      </w:r>
      <w:r w:rsidRPr="00603D5B">
        <w:rPr>
          <w:rFonts w:ascii="Times New Roman" w:hAnsi="Times New Roman" w:cs="Times New Roman"/>
          <w:sz w:val="24"/>
          <w:szCs w:val="24"/>
        </w:rPr>
        <w:t>. Children. 2023; 10(7):1103. https://doi.org/10.3390/children10071103 (IF 2.4) Q2</w:t>
      </w:r>
    </w:p>
    <w:p w14:paraId="0276A9DE" w14:textId="0E2FB4EA" w:rsidR="00F36132" w:rsidRPr="00F20C1F" w:rsidRDefault="00F36132" w:rsidP="00AA0C02">
      <w:pPr>
        <w:pStyle w:val="ListParagraph"/>
        <w:numPr>
          <w:ilvl w:val="1"/>
          <w:numId w:val="4"/>
        </w:numPr>
        <w:ind w:left="993" w:hanging="142"/>
        <w:jc w:val="both"/>
        <w:rPr>
          <w:rFonts w:ascii="Times New Roman" w:hAnsi="Times New Roman" w:cs="Times New Roman"/>
          <w:sz w:val="24"/>
          <w:szCs w:val="24"/>
          <w:lang w:val="bg-BG"/>
        </w:rPr>
      </w:pPr>
      <w:r w:rsidRPr="00F20C1F">
        <w:rPr>
          <w:rFonts w:ascii="Times New Roman" w:hAnsi="Times New Roman" w:cs="Times New Roman"/>
          <w:b/>
          <w:bCs/>
          <w:sz w:val="24"/>
          <w:szCs w:val="24"/>
          <w:lang w:val="bg-BG"/>
        </w:rPr>
        <w:t xml:space="preserve">Резюме: </w:t>
      </w:r>
      <w:bookmarkStart w:id="13" w:name="_Hlk144325169"/>
      <w:r w:rsidR="00634142" w:rsidRPr="00F20C1F">
        <w:rPr>
          <w:rFonts w:ascii="Times New Roman" w:hAnsi="Times New Roman" w:cs="Times New Roman"/>
          <w:sz w:val="24"/>
          <w:szCs w:val="24"/>
          <w:lang w:val="bg-BG"/>
        </w:rPr>
        <w:t xml:space="preserve">Аутизмът е глобален здравен проблем, който вероятно се дължи на комбинация от генетични фактори и фактори на околната среда. Появяват се данни, че чревният микробиом на децата с аутизъм се различава от този на нормално развиващите се деца и е важно да се знае кои бактериални родове могат да бъдат свързани с аутизма. </w:t>
      </w:r>
      <w:r w:rsidR="00603D5B">
        <w:rPr>
          <w:rFonts w:ascii="Times New Roman" w:hAnsi="Times New Roman" w:cs="Times New Roman"/>
          <w:sz w:val="24"/>
          <w:szCs w:val="24"/>
          <w:lang w:val="bg-BG"/>
        </w:rPr>
        <w:t>Проведохме търсене в</w:t>
      </w:r>
      <w:r w:rsidR="00634142" w:rsidRPr="00F20C1F">
        <w:rPr>
          <w:rFonts w:ascii="Times New Roman" w:hAnsi="Times New Roman" w:cs="Times New Roman"/>
          <w:sz w:val="24"/>
          <w:szCs w:val="24"/>
          <w:lang w:val="bg-BG"/>
        </w:rPr>
        <w:t xml:space="preserve"> различни бази данни, като използвахме специфични ключови думи и критерии за включване, и определихме десетте най-</w:t>
      </w:r>
      <w:r w:rsidR="00603D5B">
        <w:rPr>
          <w:rFonts w:ascii="Times New Roman" w:hAnsi="Times New Roman" w:cs="Times New Roman"/>
          <w:sz w:val="24"/>
          <w:szCs w:val="24"/>
          <w:lang w:val="bg-BG"/>
        </w:rPr>
        <w:t>чести</w:t>
      </w:r>
      <w:r w:rsidR="00634142" w:rsidRPr="00F20C1F">
        <w:rPr>
          <w:rFonts w:ascii="Times New Roman" w:hAnsi="Times New Roman" w:cs="Times New Roman"/>
          <w:sz w:val="24"/>
          <w:szCs w:val="24"/>
          <w:lang w:val="bg-BG"/>
        </w:rPr>
        <w:t xml:space="preserve"> бактериални рода от избраните статии, които се различават значително между изследваните пациенти и изследваните контролни субекти. Идентифицирани бяха общо 34 проучвания, които отговаряха на критериите за включване. Родовете </w:t>
      </w:r>
      <w:r w:rsidR="00634142" w:rsidRPr="00F20C1F">
        <w:rPr>
          <w:rFonts w:ascii="Times New Roman" w:hAnsi="Times New Roman" w:cs="Times New Roman"/>
          <w:i/>
          <w:iCs/>
          <w:sz w:val="24"/>
          <w:szCs w:val="24"/>
          <w:lang w:val="bg-BG"/>
        </w:rPr>
        <w:t>Bacteroides, Bifidobacterium, Clostridium, Coprococcus, Faecalibacterium, Lachnospira, Prevotella, Ruminococcus, Streptococcus</w:t>
      </w:r>
      <w:r w:rsidR="00634142" w:rsidRPr="00F20C1F">
        <w:rPr>
          <w:rFonts w:ascii="Times New Roman" w:hAnsi="Times New Roman" w:cs="Times New Roman"/>
          <w:sz w:val="24"/>
          <w:szCs w:val="24"/>
          <w:lang w:val="bg-BG"/>
        </w:rPr>
        <w:t xml:space="preserve"> и </w:t>
      </w:r>
      <w:r w:rsidR="00634142" w:rsidRPr="00F20C1F">
        <w:rPr>
          <w:rFonts w:ascii="Times New Roman" w:hAnsi="Times New Roman" w:cs="Times New Roman"/>
          <w:i/>
          <w:iCs/>
          <w:sz w:val="24"/>
          <w:szCs w:val="24"/>
          <w:lang w:val="bg-BG"/>
        </w:rPr>
        <w:t>Blautia</w:t>
      </w:r>
      <w:r w:rsidR="00634142" w:rsidRPr="00F20C1F">
        <w:rPr>
          <w:rFonts w:ascii="Times New Roman" w:hAnsi="Times New Roman" w:cs="Times New Roman"/>
          <w:sz w:val="24"/>
          <w:szCs w:val="24"/>
          <w:lang w:val="bg-BG"/>
        </w:rPr>
        <w:t xml:space="preserve"> показаха най-много данни, показващи, че техните колебания в стомашно-чревния тракт могат да бъдат свързани с етиологията на аутизма.</w:t>
      </w:r>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Вероятно</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симптомите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аутизъм</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влияят</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както</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от</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повишените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нива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вредните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бактерии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така</w:t>
      </w:r>
      <w:proofErr w:type="spellEnd"/>
      <w:r w:rsidR="00634142" w:rsidRPr="00F20C1F">
        <w:rPr>
          <w:rFonts w:ascii="Times New Roman" w:hAnsi="Times New Roman" w:cs="Times New Roman"/>
          <w:sz w:val="24"/>
          <w:szCs w:val="24"/>
        </w:rPr>
        <w:t xml:space="preserve"> и </w:t>
      </w:r>
      <w:proofErr w:type="spellStart"/>
      <w:r w:rsidR="00634142" w:rsidRPr="00F20C1F">
        <w:rPr>
          <w:rFonts w:ascii="Times New Roman" w:hAnsi="Times New Roman" w:cs="Times New Roman"/>
          <w:sz w:val="24"/>
          <w:szCs w:val="24"/>
        </w:rPr>
        <w:t>от</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понижените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нива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полезните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бактерии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Интересно</w:t>
      </w:r>
      <w:proofErr w:type="spellEnd"/>
      <w:r w:rsidR="00634142" w:rsidRPr="00F20C1F">
        <w:rPr>
          <w:rFonts w:ascii="Times New Roman" w:hAnsi="Times New Roman" w:cs="Times New Roman"/>
          <w:sz w:val="24"/>
          <w:szCs w:val="24"/>
        </w:rPr>
        <w:t xml:space="preserve"> е, </w:t>
      </w:r>
      <w:proofErr w:type="spellStart"/>
      <w:r w:rsidR="00634142" w:rsidRPr="00F20C1F">
        <w:rPr>
          <w:rFonts w:ascii="Times New Roman" w:hAnsi="Times New Roman" w:cs="Times New Roman"/>
          <w:sz w:val="24"/>
          <w:szCs w:val="24"/>
        </w:rPr>
        <w:t>че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тези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родове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демонстрират</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различни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модели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повишени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или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понижени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нива</w:t>
      </w:r>
      <w:proofErr w:type="spellEnd"/>
      <w:r w:rsidR="00634142" w:rsidRPr="00F20C1F">
        <w:rPr>
          <w:rFonts w:ascii="Times New Roman" w:hAnsi="Times New Roman" w:cs="Times New Roman"/>
          <w:sz w:val="24"/>
          <w:szCs w:val="24"/>
        </w:rPr>
        <w:t xml:space="preserve"> в </w:t>
      </w:r>
      <w:proofErr w:type="spellStart"/>
      <w:r w:rsidR="00634142" w:rsidRPr="00F20C1F">
        <w:rPr>
          <w:rFonts w:ascii="Times New Roman" w:hAnsi="Times New Roman" w:cs="Times New Roman"/>
          <w:sz w:val="24"/>
          <w:szCs w:val="24"/>
        </w:rPr>
        <w:t>различните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статии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За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да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потвърдят</w:t>
      </w:r>
      <w:proofErr w:type="spellEnd"/>
      <w:r w:rsidR="00634142" w:rsidRPr="00F20C1F">
        <w:rPr>
          <w:rFonts w:ascii="Times New Roman" w:hAnsi="Times New Roman" w:cs="Times New Roman"/>
          <w:sz w:val="24"/>
          <w:szCs w:val="24"/>
        </w:rPr>
        <w:t xml:space="preserve"> и </w:t>
      </w:r>
      <w:proofErr w:type="spellStart"/>
      <w:r w:rsidR="00634142" w:rsidRPr="00F20C1F">
        <w:rPr>
          <w:rFonts w:ascii="Times New Roman" w:hAnsi="Times New Roman" w:cs="Times New Roman"/>
          <w:sz w:val="24"/>
          <w:szCs w:val="24"/>
        </w:rPr>
        <w:t>отстранят</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източниците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тези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колебания</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необходими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допълнителни</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изследвания</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Следователно</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бъдещите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изследвания</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причините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за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аутизма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трябва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да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съсредоточат</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върху</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изследването</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на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бактериалните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родове</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разгледани</w:t>
      </w:r>
      <w:proofErr w:type="spellEnd"/>
      <w:r w:rsidR="00634142" w:rsidRPr="00F20C1F">
        <w:rPr>
          <w:rFonts w:ascii="Times New Roman" w:hAnsi="Times New Roman" w:cs="Times New Roman"/>
          <w:sz w:val="24"/>
          <w:szCs w:val="24"/>
        </w:rPr>
        <w:t xml:space="preserve"> в </w:t>
      </w:r>
      <w:proofErr w:type="spellStart"/>
      <w:r w:rsidR="00634142" w:rsidRPr="00F20C1F">
        <w:rPr>
          <w:rFonts w:ascii="Times New Roman" w:hAnsi="Times New Roman" w:cs="Times New Roman"/>
          <w:sz w:val="24"/>
          <w:szCs w:val="24"/>
        </w:rPr>
        <w:t>настоящата</w:t>
      </w:r>
      <w:proofErr w:type="spellEnd"/>
      <w:r w:rsidR="00634142" w:rsidRPr="00F20C1F">
        <w:rPr>
          <w:rFonts w:ascii="Times New Roman" w:hAnsi="Times New Roman" w:cs="Times New Roman"/>
          <w:sz w:val="24"/>
          <w:szCs w:val="24"/>
        </w:rPr>
        <w:t xml:space="preserve"> </w:t>
      </w:r>
      <w:proofErr w:type="spellStart"/>
      <w:r w:rsidR="00634142" w:rsidRPr="00F20C1F">
        <w:rPr>
          <w:rFonts w:ascii="Times New Roman" w:hAnsi="Times New Roman" w:cs="Times New Roman"/>
          <w:sz w:val="24"/>
          <w:szCs w:val="24"/>
        </w:rPr>
        <w:t>публикация</w:t>
      </w:r>
      <w:proofErr w:type="spellEnd"/>
      <w:r w:rsidR="00634142" w:rsidRPr="00F20C1F">
        <w:rPr>
          <w:rFonts w:ascii="Times New Roman" w:hAnsi="Times New Roman" w:cs="Times New Roman"/>
          <w:sz w:val="24"/>
          <w:szCs w:val="24"/>
        </w:rPr>
        <w:t>.</w:t>
      </w:r>
    </w:p>
    <w:bookmarkEnd w:id="13"/>
    <w:p w14:paraId="623BE4A1" w14:textId="77777777" w:rsidR="00634142" w:rsidRPr="00F20C1F" w:rsidRDefault="00634142" w:rsidP="00634142">
      <w:pPr>
        <w:pStyle w:val="ListParagraph"/>
        <w:ind w:left="993"/>
        <w:jc w:val="both"/>
        <w:rPr>
          <w:rFonts w:ascii="Times New Roman" w:hAnsi="Times New Roman" w:cs="Times New Roman"/>
          <w:sz w:val="24"/>
          <w:szCs w:val="24"/>
          <w:lang w:val="bg-BG"/>
        </w:rPr>
      </w:pPr>
    </w:p>
    <w:p w14:paraId="21CAF71C" w14:textId="7A26B6D3" w:rsidR="00F36132" w:rsidRPr="00F20C1F" w:rsidRDefault="00F36132" w:rsidP="00AA0C02">
      <w:pPr>
        <w:pStyle w:val="ListParagraph"/>
        <w:numPr>
          <w:ilvl w:val="1"/>
          <w:numId w:val="4"/>
        </w:numPr>
        <w:ind w:left="993" w:hanging="142"/>
        <w:jc w:val="both"/>
        <w:rPr>
          <w:rFonts w:ascii="Times New Roman" w:hAnsi="Times New Roman" w:cs="Times New Roman"/>
          <w:sz w:val="24"/>
          <w:szCs w:val="24"/>
        </w:rPr>
      </w:pPr>
      <w:r w:rsidRPr="00F20C1F">
        <w:rPr>
          <w:rFonts w:ascii="Times New Roman" w:hAnsi="Times New Roman" w:cs="Times New Roman"/>
          <w:b/>
          <w:bCs/>
          <w:sz w:val="24"/>
          <w:szCs w:val="24"/>
        </w:rPr>
        <w:t xml:space="preserve">Abstract: </w:t>
      </w:r>
      <w:r w:rsidRPr="00F20C1F">
        <w:rPr>
          <w:rFonts w:ascii="Times New Roman" w:hAnsi="Times New Roman" w:cs="Times New Roman"/>
          <w:sz w:val="24"/>
          <w:szCs w:val="24"/>
        </w:rPr>
        <w:t xml:space="preserve">Autism is a global health problem, probably due to a combination of genetic and environmental factors. There is emerging data that the gut microbiome of autistic children differs from the one of typically developing children and it is important to know which bacterial genera may be related to autism. We searched different databases using specific keywords and inclusion criteria and identified the top ten bacterial genera from the selected articles that were significantly different between the studied patients and control subjects studied. A total of 34 studies that met the inclusion criteria were </w:t>
      </w:r>
      <w:r w:rsidRPr="00F20C1F">
        <w:rPr>
          <w:rFonts w:ascii="Times New Roman" w:hAnsi="Times New Roman" w:cs="Times New Roman"/>
          <w:sz w:val="24"/>
          <w:szCs w:val="24"/>
        </w:rPr>
        <w:lastRenderedPageBreak/>
        <w:t xml:space="preserve">identified. The genera </w:t>
      </w:r>
      <w:r w:rsidRPr="00F20C1F">
        <w:rPr>
          <w:rFonts w:ascii="Times New Roman" w:hAnsi="Times New Roman" w:cs="Times New Roman"/>
          <w:i/>
          <w:iCs/>
          <w:sz w:val="24"/>
          <w:szCs w:val="24"/>
        </w:rPr>
        <w:t>Bacteroides</w:t>
      </w:r>
      <w:r w:rsidRPr="00F20C1F">
        <w:rPr>
          <w:rFonts w:ascii="Times New Roman" w:hAnsi="Times New Roman" w:cs="Times New Roman"/>
          <w:sz w:val="24"/>
          <w:szCs w:val="24"/>
        </w:rPr>
        <w:t xml:space="preserve">, </w:t>
      </w:r>
      <w:r w:rsidRPr="00F20C1F">
        <w:rPr>
          <w:rFonts w:ascii="Times New Roman" w:hAnsi="Times New Roman" w:cs="Times New Roman"/>
          <w:i/>
          <w:iCs/>
          <w:sz w:val="24"/>
          <w:szCs w:val="24"/>
        </w:rPr>
        <w:t>Bifidobacterium</w:t>
      </w:r>
      <w:r w:rsidRPr="00F20C1F">
        <w:rPr>
          <w:rFonts w:ascii="Times New Roman" w:hAnsi="Times New Roman" w:cs="Times New Roman"/>
          <w:sz w:val="24"/>
          <w:szCs w:val="24"/>
        </w:rPr>
        <w:t xml:space="preserve">, </w:t>
      </w:r>
      <w:r w:rsidRPr="00F20C1F">
        <w:rPr>
          <w:rFonts w:ascii="Times New Roman" w:hAnsi="Times New Roman" w:cs="Times New Roman"/>
          <w:i/>
          <w:iCs/>
          <w:sz w:val="24"/>
          <w:szCs w:val="24"/>
        </w:rPr>
        <w:t>Clostridium</w:t>
      </w:r>
      <w:r w:rsidRPr="00F20C1F">
        <w:rPr>
          <w:rFonts w:ascii="Times New Roman" w:hAnsi="Times New Roman" w:cs="Times New Roman"/>
          <w:sz w:val="24"/>
          <w:szCs w:val="24"/>
        </w:rPr>
        <w:t xml:space="preserve">, </w:t>
      </w:r>
      <w:proofErr w:type="spellStart"/>
      <w:r w:rsidRPr="00F20C1F">
        <w:rPr>
          <w:rFonts w:ascii="Times New Roman" w:hAnsi="Times New Roman" w:cs="Times New Roman"/>
          <w:i/>
          <w:iCs/>
          <w:sz w:val="24"/>
          <w:szCs w:val="24"/>
        </w:rPr>
        <w:t>Coprococcus</w:t>
      </w:r>
      <w:proofErr w:type="spellEnd"/>
      <w:r w:rsidRPr="00F20C1F">
        <w:rPr>
          <w:rFonts w:ascii="Times New Roman" w:hAnsi="Times New Roman" w:cs="Times New Roman"/>
          <w:sz w:val="24"/>
          <w:szCs w:val="24"/>
        </w:rPr>
        <w:t xml:space="preserve">, </w:t>
      </w:r>
      <w:proofErr w:type="spellStart"/>
      <w:r w:rsidRPr="00F20C1F">
        <w:rPr>
          <w:rFonts w:ascii="Times New Roman" w:hAnsi="Times New Roman" w:cs="Times New Roman"/>
          <w:i/>
          <w:iCs/>
          <w:sz w:val="24"/>
          <w:szCs w:val="24"/>
        </w:rPr>
        <w:t>Faecalibacterium</w:t>
      </w:r>
      <w:proofErr w:type="spellEnd"/>
      <w:r w:rsidRPr="00F20C1F">
        <w:rPr>
          <w:rFonts w:ascii="Times New Roman" w:hAnsi="Times New Roman" w:cs="Times New Roman"/>
          <w:sz w:val="24"/>
          <w:szCs w:val="24"/>
        </w:rPr>
        <w:t xml:space="preserve">, </w:t>
      </w:r>
      <w:proofErr w:type="spellStart"/>
      <w:r w:rsidRPr="00F20C1F">
        <w:rPr>
          <w:rFonts w:ascii="Times New Roman" w:hAnsi="Times New Roman" w:cs="Times New Roman"/>
          <w:i/>
          <w:iCs/>
          <w:sz w:val="24"/>
          <w:szCs w:val="24"/>
        </w:rPr>
        <w:t>Lachnospira</w:t>
      </w:r>
      <w:proofErr w:type="spellEnd"/>
      <w:r w:rsidRPr="00F20C1F">
        <w:rPr>
          <w:rFonts w:ascii="Times New Roman" w:hAnsi="Times New Roman" w:cs="Times New Roman"/>
          <w:sz w:val="24"/>
          <w:szCs w:val="24"/>
        </w:rPr>
        <w:t xml:space="preserve">, </w:t>
      </w:r>
      <w:proofErr w:type="spellStart"/>
      <w:r w:rsidRPr="00F20C1F">
        <w:rPr>
          <w:rFonts w:ascii="Times New Roman" w:hAnsi="Times New Roman" w:cs="Times New Roman"/>
          <w:i/>
          <w:iCs/>
          <w:sz w:val="24"/>
          <w:szCs w:val="24"/>
        </w:rPr>
        <w:t>Prevotella</w:t>
      </w:r>
      <w:proofErr w:type="spellEnd"/>
      <w:r w:rsidRPr="00F20C1F">
        <w:rPr>
          <w:rFonts w:ascii="Times New Roman" w:hAnsi="Times New Roman" w:cs="Times New Roman"/>
          <w:sz w:val="24"/>
          <w:szCs w:val="24"/>
        </w:rPr>
        <w:t xml:space="preserve">, </w:t>
      </w:r>
      <w:proofErr w:type="spellStart"/>
      <w:r w:rsidRPr="00F20C1F">
        <w:rPr>
          <w:rFonts w:ascii="Times New Roman" w:hAnsi="Times New Roman" w:cs="Times New Roman"/>
          <w:i/>
          <w:iCs/>
          <w:sz w:val="24"/>
          <w:szCs w:val="24"/>
        </w:rPr>
        <w:t>Ruminococcus</w:t>
      </w:r>
      <w:proofErr w:type="spellEnd"/>
      <w:r w:rsidRPr="00F20C1F">
        <w:rPr>
          <w:rFonts w:ascii="Times New Roman" w:hAnsi="Times New Roman" w:cs="Times New Roman"/>
          <w:sz w:val="24"/>
          <w:szCs w:val="24"/>
        </w:rPr>
        <w:t xml:space="preserve">, </w:t>
      </w:r>
      <w:r w:rsidRPr="00F20C1F">
        <w:rPr>
          <w:rFonts w:ascii="Times New Roman" w:hAnsi="Times New Roman" w:cs="Times New Roman"/>
          <w:i/>
          <w:iCs/>
          <w:sz w:val="24"/>
          <w:szCs w:val="24"/>
        </w:rPr>
        <w:t>Streptococcus</w:t>
      </w:r>
      <w:r w:rsidRPr="00F20C1F">
        <w:rPr>
          <w:rFonts w:ascii="Times New Roman" w:hAnsi="Times New Roman" w:cs="Times New Roman"/>
          <w:sz w:val="24"/>
          <w:szCs w:val="24"/>
        </w:rPr>
        <w:t xml:space="preserve">, and </w:t>
      </w:r>
      <w:proofErr w:type="spellStart"/>
      <w:r w:rsidRPr="00F20C1F">
        <w:rPr>
          <w:rFonts w:ascii="Times New Roman" w:hAnsi="Times New Roman" w:cs="Times New Roman"/>
          <w:i/>
          <w:iCs/>
          <w:sz w:val="24"/>
          <w:szCs w:val="24"/>
        </w:rPr>
        <w:t>Blautia</w:t>
      </w:r>
      <w:proofErr w:type="spellEnd"/>
      <w:r w:rsidRPr="00F20C1F">
        <w:rPr>
          <w:rFonts w:ascii="Times New Roman" w:hAnsi="Times New Roman" w:cs="Times New Roman"/>
          <w:sz w:val="24"/>
          <w:szCs w:val="24"/>
        </w:rPr>
        <w:t xml:space="preserve"> exhibited the most substantial data indicating that their fluctuations in the gastrointestinal tract could be linked to the etiology of autism. It is probable that autism symptoms are influenced by both increased levels of harmful bacteria and decreased levels of beneficial bacteria. Interestingly, these genera demonstrated varying patterns of increased or decreased levels across different articles. To validate and eliminate the sources of this fluctuation, further research is needed. Consequently, future investigations on the causes of autism should prioritize the examination of the bacterial genera discussed in this publication.</w:t>
      </w:r>
    </w:p>
    <w:p w14:paraId="0F146AF2" w14:textId="77777777" w:rsidR="00F86383" w:rsidRPr="00F20C1F" w:rsidRDefault="00F86383" w:rsidP="00F86383">
      <w:pPr>
        <w:pStyle w:val="ListParagraph"/>
        <w:jc w:val="both"/>
        <w:rPr>
          <w:rFonts w:ascii="Times New Roman" w:hAnsi="Times New Roman" w:cs="Times New Roman"/>
          <w:sz w:val="24"/>
          <w:szCs w:val="24"/>
          <w:lang w:val="bg-BG"/>
        </w:rPr>
      </w:pPr>
    </w:p>
    <w:p w14:paraId="2CE9FE50" w14:textId="65FF8902" w:rsidR="00D66BED" w:rsidRPr="00F20C1F" w:rsidRDefault="00161774" w:rsidP="0038301B">
      <w:pPr>
        <w:pStyle w:val="ListParagraph"/>
        <w:numPr>
          <w:ilvl w:val="0"/>
          <w:numId w:val="1"/>
        </w:numPr>
        <w:jc w:val="both"/>
        <w:rPr>
          <w:rFonts w:ascii="Times New Roman" w:hAnsi="Times New Roman" w:cs="Times New Roman"/>
          <w:b/>
          <w:bCs/>
          <w:sz w:val="24"/>
          <w:szCs w:val="24"/>
          <w:lang w:val="bg-BG"/>
        </w:rPr>
      </w:pPr>
      <w:r w:rsidRPr="00F20C1F">
        <w:rPr>
          <w:rFonts w:ascii="Times New Roman" w:hAnsi="Times New Roman" w:cs="Times New Roman"/>
          <w:b/>
          <w:bCs/>
          <w:sz w:val="24"/>
          <w:szCs w:val="24"/>
          <w:lang w:val="bg-BG"/>
        </w:rPr>
        <w:t>Пълнотекстови публикации в научни списания и сборници, извън минималните наукометрични изисквания за заемане на АД „доцент“</w:t>
      </w:r>
    </w:p>
    <w:p w14:paraId="58CFCF89" w14:textId="36791678" w:rsidR="00F86383" w:rsidRPr="009F4B89" w:rsidRDefault="00BC3FAB" w:rsidP="00F86383">
      <w:pPr>
        <w:pStyle w:val="ListParagraph"/>
        <w:numPr>
          <w:ilvl w:val="0"/>
          <w:numId w:val="3"/>
        </w:numPr>
        <w:jc w:val="both"/>
        <w:rPr>
          <w:rFonts w:ascii="Times New Roman" w:hAnsi="Times New Roman" w:cs="Times New Roman"/>
          <w:sz w:val="24"/>
          <w:szCs w:val="24"/>
          <w:lang w:val="bg-BG"/>
        </w:rPr>
      </w:pPr>
      <w:r w:rsidRPr="00BC3FAB">
        <w:rPr>
          <w:rFonts w:ascii="Times New Roman" w:hAnsi="Times New Roman" w:cs="Times New Roman"/>
          <w:b/>
          <w:sz w:val="24"/>
          <w:szCs w:val="24"/>
        </w:rPr>
        <w:t>Levkova, M</w:t>
      </w:r>
      <w:r w:rsidRPr="00BC3FAB">
        <w:rPr>
          <w:rFonts w:ascii="Times New Roman" w:hAnsi="Times New Roman" w:cs="Times New Roman"/>
          <w:bCs/>
          <w:sz w:val="24"/>
          <w:szCs w:val="24"/>
        </w:rPr>
        <w:t xml:space="preserve">., </w:t>
      </w:r>
      <w:proofErr w:type="spellStart"/>
      <w:r w:rsidRPr="00BC3FAB">
        <w:rPr>
          <w:rFonts w:ascii="Times New Roman" w:hAnsi="Times New Roman" w:cs="Times New Roman"/>
          <w:bCs/>
          <w:sz w:val="24"/>
          <w:szCs w:val="24"/>
        </w:rPr>
        <w:t>Hachmeriyan</w:t>
      </w:r>
      <w:proofErr w:type="spellEnd"/>
      <w:r w:rsidRPr="00BC3FAB">
        <w:rPr>
          <w:rFonts w:ascii="Times New Roman" w:hAnsi="Times New Roman" w:cs="Times New Roman"/>
          <w:bCs/>
          <w:sz w:val="24"/>
          <w:szCs w:val="24"/>
        </w:rPr>
        <w:t xml:space="preserve">, M., Miteva, V., Stoyanova, M., &amp; Tsvetkova, M. (2018). </w:t>
      </w:r>
      <w:r w:rsidRPr="00BC3FAB">
        <w:rPr>
          <w:rFonts w:ascii="Times New Roman" w:hAnsi="Times New Roman" w:cs="Times New Roman"/>
          <w:bCs/>
          <w:i/>
          <w:iCs/>
          <w:sz w:val="24"/>
          <w:szCs w:val="24"/>
        </w:rPr>
        <w:t>Women’s awareness towards prenatal down syndrome tests in Bulgaria</w:t>
      </w:r>
      <w:r w:rsidRPr="00BC3FAB">
        <w:rPr>
          <w:rFonts w:ascii="Times New Roman" w:hAnsi="Times New Roman" w:cs="Times New Roman"/>
          <w:bCs/>
          <w:sz w:val="24"/>
          <w:szCs w:val="24"/>
        </w:rPr>
        <w:t xml:space="preserve">. J Down Syndr Chr </w:t>
      </w:r>
      <w:proofErr w:type="spellStart"/>
      <w:r w:rsidRPr="00BC3FAB">
        <w:rPr>
          <w:rFonts w:ascii="Times New Roman" w:hAnsi="Times New Roman" w:cs="Times New Roman"/>
          <w:bCs/>
          <w:sz w:val="24"/>
          <w:szCs w:val="24"/>
        </w:rPr>
        <w:t>Abnorm</w:t>
      </w:r>
      <w:proofErr w:type="spellEnd"/>
      <w:r w:rsidRPr="00BC3FAB">
        <w:rPr>
          <w:rFonts w:ascii="Times New Roman" w:hAnsi="Times New Roman" w:cs="Times New Roman"/>
          <w:bCs/>
          <w:sz w:val="24"/>
          <w:szCs w:val="24"/>
        </w:rPr>
        <w:t>, 4(129), 2472-1115.</w:t>
      </w:r>
      <w:r w:rsidR="00F36132" w:rsidRPr="009F4B89">
        <w:rPr>
          <w:rFonts w:ascii="Times New Roman" w:hAnsi="Times New Roman" w:cs="Times New Roman"/>
          <w:bCs/>
          <w:sz w:val="24"/>
          <w:szCs w:val="24"/>
        </w:rPr>
        <w:t xml:space="preserve">  </w:t>
      </w:r>
    </w:p>
    <w:p w14:paraId="574D9790" w14:textId="3D056500" w:rsidR="00634142" w:rsidRPr="00BC3FAB" w:rsidRDefault="00F86383" w:rsidP="000C18B9">
      <w:pPr>
        <w:pStyle w:val="ListParagraph"/>
        <w:numPr>
          <w:ilvl w:val="1"/>
          <w:numId w:val="26"/>
        </w:numPr>
        <w:ind w:left="993" w:hanging="142"/>
        <w:jc w:val="both"/>
        <w:rPr>
          <w:rFonts w:ascii="Times New Roman" w:hAnsi="Times New Roman" w:cs="Times New Roman"/>
          <w:sz w:val="24"/>
          <w:szCs w:val="24"/>
          <w:lang w:val="bg-BG"/>
        </w:rPr>
      </w:pPr>
      <w:r w:rsidRPr="00BC3FAB">
        <w:rPr>
          <w:rFonts w:ascii="Times New Roman" w:hAnsi="Times New Roman" w:cs="Times New Roman"/>
          <w:b/>
          <w:bCs/>
          <w:sz w:val="24"/>
          <w:szCs w:val="24"/>
          <w:lang w:val="bg-BG"/>
        </w:rPr>
        <w:t xml:space="preserve">Резюме: </w:t>
      </w:r>
      <w:r w:rsidR="00BC3FAB" w:rsidRPr="00BC3FAB">
        <w:rPr>
          <w:rFonts w:ascii="Times New Roman" w:hAnsi="Times New Roman" w:cs="Times New Roman"/>
          <w:sz w:val="24"/>
          <w:szCs w:val="24"/>
          <w:lang w:val="bg-BG"/>
        </w:rPr>
        <w:t>Цел: През последните няколко години скрининговите и диагностичните тестове за синдрома на Даун се развиха бързо с въвеждането на неинвазивните пренатални тестове</w:t>
      </w:r>
      <w:r w:rsidR="00F55FCF">
        <w:rPr>
          <w:rFonts w:ascii="Times New Roman" w:hAnsi="Times New Roman" w:cs="Times New Roman"/>
          <w:sz w:val="24"/>
          <w:szCs w:val="24"/>
          <w:lang w:val="bg-BG"/>
        </w:rPr>
        <w:t xml:space="preserve"> (НИПТ)</w:t>
      </w:r>
      <w:r w:rsidR="00BC3FAB" w:rsidRPr="00BC3FAB">
        <w:rPr>
          <w:rFonts w:ascii="Times New Roman" w:hAnsi="Times New Roman" w:cs="Times New Roman"/>
          <w:sz w:val="24"/>
          <w:szCs w:val="24"/>
          <w:lang w:val="bg-BG"/>
        </w:rPr>
        <w:t xml:space="preserve">. Не всички жени обаче са запознати с новите възможности за изследване. Ето защо целта на нашето проучване е да </w:t>
      </w:r>
      <w:r w:rsidR="00F55FCF">
        <w:rPr>
          <w:rFonts w:ascii="Times New Roman" w:hAnsi="Times New Roman" w:cs="Times New Roman"/>
          <w:sz w:val="24"/>
          <w:szCs w:val="24"/>
          <w:lang w:val="bg-BG"/>
        </w:rPr>
        <w:t>изследва</w:t>
      </w:r>
      <w:r w:rsidR="00BC3FAB" w:rsidRPr="00BC3FAB">
        <w:rPr>
          <w:rFonts w:ascii="Times New Roman" w:hAnsi="Times New Roman" w:cs="Times New Roman"/>
          <w:sz w:val="24"/>
          <w:szCs w:val="24"/>
          <w:lang w:val="bg-BG"/>
        </w:rPr>
        <w:t xml:space="preserve"> информираността на жените </w:t>
      </w:r>
      <w:r w:rsidR="00F55FCF">
        <w:rPr>
          <w:rFonts w:ascii="Times New Roman" w:hAnsi="Times New Roman" w:cs="Times New Roman"/>
          <w:sz w:val="24"/>
          <w:szCs w:val="24"/>
          <w:lang w:val="bg-BG"/>
        </w:rPr>
        <w:t>относно</w:t>
      </w:r>
      <w:r w:rsidR="00BC3FAB" w:rsidRPr="00BC3FAB">
        <w:rPr>
          <w:rFonts w:ascii="Times New Roman" w:hAnsi="Times New Roman" w:cs="Times New Roman"/>
          <w:sz w:val="24"/>
          <w:szCs w:val="24"/>
          <w:lang w:val="bg-BG"/>
        </w:rPr>
        <w:t xml:space="preserve"> пренаталните тестове за синдрома на Даун в България. Методи: </w:t>
      </w:r>
      <w:r w:rsidR="00F55FCF">
        <w:rPr>
          <w:rFonts w:ascii="Times New Roman" w:hAnsi="Times New Roman" w:cs="Times New Roman"/>
          <w:sz w:val="24"/>
          <w:szCs w:val="24"/>
          <w:lang w:val="bg-BG"/>
        </w:rPr>
        <w:t>П</w:t>
      </w:r>
      <w:r w:rsidR="00BC3FAB" w:rsidRPr="00BC3FAB">
        <w:rPr>
          <w:rFonts w:ascii="Times New Roman" w:hAnsi="Times New Roman" w:cs="Times New Roman"/>
          <w:sz w:val="24"/>
          <w:szCs w:val="24"/>
          <w:lang w:val="bg-BG"/>
        </w:rPr>
        <w:t xml:space="preserve">роучването е проведено сред 500 случайно избрани жени на възраст от 18 до 47 години. То е планирано като проспективно проучване, проведено както онлайн, така и в кабинета за генетично консултиране в Лабораторията по медицинска генетика, Варна. Цялата информация е събрана между януари 2018 г. и юни 2018 г. Резултати: 384 (76,3%) от жените са получили информация за различните възможности за изследване от своя акушер-гинеколог. Останалите 116 (23,7%) са </w:t>
      </w:r>
      <w:r w:rsidR="00F55FCF">
        <w:rPr>
          <w:rFonts w:ascii="Times New Roman" w:hAnsi="Times New Roman" w:cs="Times New Roman"/>
          <w:sz w:val="24"/>
          <w:szCs w:val="24"/>
          <w:lang w:val="bg-BG"/>
        </w:rPr>
        <w:t>се самоинформирали</w:t>
      </w:r>
      <w:r w:rsidR="00BC3FAB" w:rsidRPr="00BC3FAB">
        <w:rPr>
          <w:rFonts w:ascii="Times New Roman" w:hAnsi="Times New Roman" w:cs="Times New Roman"/>
          <w:sz w:val="24"/>
          <w:szCs w:val="24"/>
          <w:lang w:val="bg-BG"/>
        </w:rPr>
        <w:t>. Общо 345 (68,5%) от жените са доволни от информацията за тестовете за синдрома на Даун, предоставена от техния акушер-гинеколог.</w:t>
      </w:r>
      <w:r w:rsid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имали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по-добри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познания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това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какво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представлява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биохимичният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скрининг</w:t>
      </w:r>
      <w:proofErr w:type="spellEnd"/>
      <w:r w:rsidR="00BC3FAB" w:rsidRPr="00BC3FAB">
        <w:rPr>
          <w:rFonts w:ascii="Times New Roman" w:hAnsi="Times New Roman" w:cs="Times New Roman"/>
          <w:sz w:val="24"/>
          <w:szCs w:val="24"/>
        </w:rPr>
        <w:t xml:space="preserve"> - 128 (25,4 %) </w:t>
      </w:r>
      <w:proofErr w:type="spellStart"/>
      <w:r w:rsidR="00BC3FAB" w:rsidRPr="00BC3FAB">
        <w:rPr>
          <w:rFonts w:ascii="Times New Roman" w:hAnsi="Times New Roman" w:cs="Times New Roman"/>
          <w:sz w:val="24"/>
          <w:szCs w:val="24"/>
        </w:rPr>
        <w:t>са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отбелязали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много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добро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ниво</w:t>
      </w:r>
      <w:proofErr w:type="spellEnd"/>
      <w:r w:rsidR="00BC3FAB" w:rsidRPr="00BC3FAB">
        <w:rPr>
          <w:rFonts w:ascii="Times New Roman" w:hAnsi="Times New Roman" w:cs="Times New Roman"/>
          <w:sz w:val="24"/>
          <w:szCs w:val="24"/>
        </w:rPr>
        <w:t xml:space="preserve">, а 207 (41,2 %) - </w:t>
      </w:r>
      <w:proofErr w:type="spellStart"/>
      <w:r w:rsidR="00BC3FAB" w:rsidRPr="00BC3FAB">
        <w:rPr>
          <w:rFonts w:ascii="Times New Roman" w:hAnsi="Times New Roman" w:cs="Times New Roman"/>
          <w:sz w:val="24"/>
          <w:szCs w:val="24"/>
        </w:rPr>
        <w:t>добро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Когато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запитани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теста</w:t>
      </w:r>
      <w:proofErr w:type="spellEnd"/>
      <w:r w:rsidR="00BC3FAB" w:rsidRPr="00BC3FAB">
        <w:rPr>
          <w:rFonts w:ascii="Times New Roman" w:hAnsi="Times New Roman" w:cs="Times New Roman"/>
          <w:sz w:val="24"/>
          <w:szCs w:val="24"/>
        </w:rPr>
        <w:t xml:space="preserve"> </w:t>
      </w:r>
      <w:r w:rsidR="00F55FCF">
        <w:rPr>
          <w:rFonts w:ascii="Times New Roman" w:hAnsi="Times New Roman" w:cs="Times New Roman"/>
          <w:sz w:val="24"/>
          <w:szCs w:val="24"/>
          <w:lang w:val="bg-BG"/>
        </w:rPr>
        <w:t>НИПТ</w:t>
      </w:r>
      <w:r w:rsidR="00BC3FAB" w:rsidRPr="00BC3FAB">
        <w:rPr>
          <w:rFonts w:ascii="Times New Roman" w:hAnsi="Times New Roman" w:cs="Times New Roman"/>
          <w:sz w:val="24"/>
          <w:szCs w:val="24"/>
        </w:rPr>
        <w:t xml:space="preserve">, 202 (40,2 %) </w:t>
      </w:r>
      <w:proofErr w:type="spellStart"/>
      <w:r w:rsidR="00BC3FAB" w:rsidRPr="00BC3FAB">
        <w:rPr>
          <w:rFonts w:ascii="Times New Roman" w:hAnsi="Times New Roman" w:cs="Times New Roman"/>
          <w:sz w:val="24"/>
          <w:szCs w:val="24"/>
        </w:rPr>
        <w:t>не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знаят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какво</w:t>
      </w:r>
      <w:proofErr w:type="spellEnd"/>
      <w:r w:rsidR="00BC3FAB" w:rsidRPr="00BC3FAB">
        <w:rPr>
          <w:rFonts w:ascii="Times New Roman" w:hAnsi="Times New Roman" w:cs="Times New Roman"/>
          <w:sz w:val="24"/>
          <w:szCs w:val="24"/>
        </w:rPr>
        <w:t xml:space="preserve"> е </w:t>
      </w:r>
      <w:r w:rsidR="00F55FCF">
        <w:rPr>
          <w:rFonts w:ascii="Times New Roman" w:hAnsi="Times New Roman" w:cs="Times New Roman"/>
          <w:sz w:val="24"/>
          <w:szCs w:val="24"/>
          <w:lang w:val="bg-BG"/>
        </w:rPr>
        <w:t>НИПТ</w:t>
      </w:r>
      <w:r w:rsidR="00BC3FAB" w:rsidRPr="00BC3FAB">
        <w:rPr>
          <w:rFonts w:ascii="Times New Roman" w:hAnsi="Times New Roman" w:cs="Times New Roman"/>
          <w:sz w:val="24"/>
          <w:szCs w:val="24"/>
        </w:rPr>
        <w:t xml:space="preserve">. 222 (44,4 %) </w:t>
      </w:r>
      <w:proofErr w:type="spellStart"/>
      <w:r w:rsidR="00BC3FAB" w:rsidRPr="00BC3FAB">
        <w:rPr>
          <w:rFonts w:ascii="Times New Roman" w:hAnsi="Times New Roman" w:cs="Times New Roman"/>
          <w:sz w:val="24"/>
          <w:szCs w:val="24"/>
        </w:rPr>
        <w:t>определят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познанията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амниоцентезата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много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добри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или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добри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Въпреки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това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само</w:t>
      </w:r>
      <w:proofErr w:type="spellEnd"/>
      <w:r w:rsidR="00BC3FAB" w:rsidRPr="00BC3FAB">
        <w:rPr>
          <w:rFonts w:ascii="Times New Roman" w:hAnsi="Times New Roman" w:cs="Times New Roman"/>
          <w:sz w:val="24"/>
          <w:szCs w:val="24"/>
        </w:rPr>
        <w:t xml:space="preserve"> 65 (13,0%) </w:t>
      </w:r>
      <w:proofErr w:type="spellStart"/>
      <w:r w:rsidR="00BC3FAB" w:rsidRPr="00BC3FAB">
        <w:rPr>
          <w:rFonts w:ascii="Times New Roman" w:hAnsi="Times New Roman" w:cs="Times New Roman"/>
          <w:sz w:val="24"/>
          <w:szCs w:val="24"/>
        </w:rPr>
        <w:t>със</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сигурност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биха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подложили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тази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процедура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ако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им</w:t>
      </w:r>
      <w:proofErr w:type="spellEnd"/>
      <w:r w:rsidR="00F55FCF">
        <w:rPr>
          <w:rFonts w:ascii="Times New Roman" w:hAnsi="Times New Roman" w:cs="Times New Roman"/>
          <w:sz w:val="24"/>
          <w:szCs w:val="24"/>
          <w:lang w:val="bg-BG"/>
        </w:rPr>
        <w:t>ат показания за нея</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Според</w:t>
      </w:r>
      <w:proofErr w:type="spellEnd"/>
      <w:r w:rsidR="00BC3FAB" w:rsidRPr="00BC3FAB">
        <w:rPr>
          <w:rFonts w:ascii="Times New Roman" w:hAnsi="Times New Roman" w:cs="Times New Roman"/>
          <w:sz w:val="24"/>
          <w:szCs w:val="24"/>
        </w:rPr>
        <w:t xml:space="preserve"> </w:t>
      </w:r>
      <w:r w:rsidR="00F55FCF">
        <w:rPr>
          <w:rFonts w:ascii="Times New Roman" w:hAnsi="Times New Roman" w:cs="Times New Roman"/>
          <w:sz w:val="24"/>
          <w:szCs w:val="24"/>
          <w:lang w:val="bg-BG"/>
        </w:rPr>
        <w:t>нашите р</w:t>
      </w:r>
      <w:proofErr w:type="spellStart"/>
      <w:r w:rsidR="00BC3FAB" w:rsidRPr="00BC3FAB">
        <w:rPr>
          <w:rFonts w:ascii="Times New Roman" w:hAnsi="Times New Roman" w:cs="Times New Roman"/>
          <w:sz w:val="24"/>
          <w:szCs w:val="24"/>
        </w:rPr>
        <w:t>езултати</w:t>
      </w:r>
      <w:proofErr w:type="spellEnd"/>
      <w:r w:rsidR="00F55FCF">
        <w:rPr>
          <w:rFonts w:ascii="Times New Roman" w:hAnsi="Times New Roman" w:cs="Times New Roman"/>
          <w:sz w:val="24"/>
          <w:szCs w:val="24"/>
          <w:lang w:val="bg-BG"/>
        </w:rPr>
        <w:t>,</w:t>
      </w:r>
      <w:r w:rsidR="00BC3FAB"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точността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на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теста</w:t>
      </w:r>
      <w:proofErr w:type="spellEnd"/>
      <w:r w:rsidR="00F55FCF" w:rsidRPr="00BC3FAB">
        <w:rPr>
          <w:rFonts w:ascii="Times New Roman" w:hAnsi="Times New Roman" w:cs="Times New Roman"/>
          <w:sz w:val="24"/>
          <w:szCs w:val="24"/>
        </w:rPr>
        <w:t xml:space="preserve"> е </w:t>
      </w:r>
      <w:proofErr w:type="spellStart"/>
      <w:r w:rsidR="00F55FCF" w:rsidRPr="00BC3FAB">
        <w:rPr>
          <w:rFonts w:ascii="Times New Roman" w:hAnsi="Times New Roman" w:cs="Times New Roman"/>
          <w:sz w:val="24"/>
          <w:szCs w:val="24"/>
        </w:rPr>
        <w:t>най-важна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при</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избора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на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метод</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за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изследване</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на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синдрома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на</w:t>
      </w:r>
      <w:proofErr w:type="spellEnd"/>
      <w:r w:rsidR="00F55FCF" w:rsidRPr="00BC3FAB">
        <w:rPr>
          <w:rFonts w:ascii="Times New Roman" w:hAnsi="Times New Roman" w:cs="Times New Roman"/>
          <w:sz w:val="24"/>
          <w:szCs w:val="24"/>
        </w:rPr>
        <w:t xml:space="preserve"> </w:t>
      </w:r>
      <w:proofErr w:type="spellStart"/>
      <w:r w:rsidR="00F55FCF" w:rsidRPr="00BC3FAB">
        <w:rPr>
          <w:rFonts w:ascii="Times New Roman" w:hAnsi="Times New Roman" w:cs="Times New Roman"/>
          <w:sz w:val="24"/>
          <w:szCs w:val="24"/>
        </w:rPr>
        <w:t>Даун</w:t>
      </w:r>
      <w:proofErr w:type="spellEnd"/>
      <w:r w:rsidR="00F55FCF"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346 (68,8%) </w:t>
      </w:r>
      <w:proofErr w:type="spellStart"/>
      <w:r w:rsidR="00BC3FAB" w:rsidRPr="00BC3FAB">
        <w:rPr>
          <w:rFonts w:ascii="Times New Roman" w:hAnsi="Times New Roman" w:cs="Times New Roman"/>
          <w:sz w:val="24"/>
          <w:szCs w:val="24"/>
        </w:rPr>
        <w:t>жени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Въпреки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че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цената</w:t>
      </w:r>
      <w:proofErr w:type="spellEnd"/>
      <w:r w:rsidR="00BC3FAB" w:rsidRPr="00BC3FAB">
        <w:rPr>
          <w:rFonts w:ascii="Times New Roman" w:hAnsi="Times New Roman" w:cs="Times New Roman"/>
          <w:sz w:val="24"/>
          <w:szCs w:val="24"/>
        </w:rPr>
        <w:t xml:space="preserve"> е </w:t>
      </w:r>
      <w:proofErr w:type="spellStart"/>
      <w:r w:rsidR="00BC3FAB" w:rsidRPr="00BC3FAB">
        <w:rPr>
          <w:rFonts w:ascii="Times New Roman" w:hAnsi="Times New Roman" w:cs="Times New Roman"/>
          <w:sz w:val="24"/>
          <w:szCs w:val="24"/>
        </w:rPr>
        <w:t>поставена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трето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място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фактор</w:t>
      </w:r>
      <w:proofErr w:type="spellEnd"/>
      <w:r w:rsidR="0050134A">
        <w:rPr>
          <w:rFonts w:ascii="Times New Roman" w:hAnsi="Times New Roman" w:cs="Times New Roman"/>
          <w:sz w:val="24"/>
          <w:szCs w:val="24"/>
          <w:lang w:val="bg-BG"/>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предпочитане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пренатален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тест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синдрома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Даун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почти</w:t>
      </w:r>
      <w:proofErr w:type="spellEnd"/>
      <w:r w:rsidR="00BC3FAB" w:rsidRPr="00BC3FAB">
        <w:rPr>
          <w:rFonts w:ascii="Times New Roman" w:hAnsi="Times New Roman" w:cs="Times New Roman"/>
          <w:sz w:val="24"/>
          <w:szCs w:val="24"/>
        </w:rPr>
        <w:t xml:space="preserve"> 80% </w:t>
      </w:r>
      <w:proofErr w:type="spellStart"/>
      <w:r w:rsidR="00BC3FAB" w:rsidRPr="00BC3FAB">
        <w:rPr>
          <w:rFonts w:ascii="Times New Roman" w:hAnsi="Times New Roman" w:cs="Times New Roman"/>
          <w:sz w:val="24"/>
          <w:szCs w:val="24"/>
        </w:rPr>
        <w:t>от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анкетираните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жени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заявяват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че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готови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платят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повече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от</w:t>
      </w:r>
      <w:proofErr w:type="spellEnd"/>
      <w:r w:rsidR="00BC3FAB" w:rsidRPr="00BC3FAB">
        <w:rPr>
          <w:rFonts w:ascii="Times New Roman" w:hAnsi="Times New Roman" w:cs="Times New Roman"/>
          <w:sz w:val="24"/>
          <w:szCs w:val="24"/>
        </w:rPr>
        <w:t xml:space="preserve"> 150 </w:t>
      </w:r>
      <w:proofErr w:type="spellStart"/>
      <w:r w:rsidR="00BC3FAB" w:rsidRPr="00BC3FAB">
        <w:rPr>
          <w:rFonts w:ascii="Times New Roman" w:hAnsi="Times New Roman" w:cs="Times New Roman"/>
          <w:sz w:val="24"/>
          <w:szCs w:val="24"/>
        </w:rPr>
        <w:t>евро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Заключение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Резултатите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проучването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показват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липсата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познания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предлаганите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скринингови</w:t>
      </w:r>
      <w:proofErr w:type="spellEnd"/>
      <w:r w:rsidR="00BC3FAB" w:rsidRPr="00BC3FAB">
        <w:rPr>
          <w:rFonts w:ascii="Times New Roman" w:hAnsi="Times New Roman" w:cs="Times New Roman"/>
          <w:sz w:val="24"/>
          <w:szCs w:val="24"/>
        </w:rPr>
        <w:t xml:space="preserve"> и </w:t>
      </w:r>
      <w:proofErr w:type="spellStart"/>
      <w:r w:rsidR="00BC3FAB" w:rsidRPr="00BC3FAB">
        <w:rPr>
          <w:rFonts w:ascii="Times New Roman" w:hAnsi="Times New Roman" w:cs="Times New Roman"/>
          <w:sz w:val="24"/>
          <w:szCs w:val="24"/>
        </w:rPr>
        <w:t>диагностични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тестове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синдрома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Даун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особено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r w:rsidR="0050134A">
        <w:rPr>
          <w:rFonts w:ascii="Times New Roman" w:hAnsi="Times New Roman" w:cs="Times New Roman"/>
          <w:sz w:val="24"/>
          <w:szCs w:val="24"/>
          <w:lang w:val="bg-BG"/>
        </w:rPr>
        <w:t>НИПТ</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Препоръчва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по-добро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обучение</w:t>
      </w:r>
      <w:proofErr w:type="spellEnd"/>
      <w:r w:rsidR="00BC3FAB" w:rsidRPr="00BC3FAB">
        <w:rPr>
          <w:rFonts w:ascii="Times New Roman" w:hAnsi="Times New Roman" w:cs="Times New Roman"/>
          <w:sz w:val="24"/>
          <w:szCs w:val="24"/>
        </w:rPr>
        <w:t xml:space="preserve"> и </w:t>
      </w:r>
      <w:proofErr w:type="spellStart"/>
      <w:r w:rsidR="00BC3FAB" w:rsidRPr="00BC3FAB">
        <w:rPr>
          <w:rFonts w:ascii="Times New Roman" w:hAnsi="Times New Roman" w:cs="Times New Roman"/>
          <w:sz w:val="24"/>
          <w:szCs w:val="24"/>
        </w:rPr>
        <w:t>консултиране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жените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време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консултациите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им</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бременност</w:t>
      </w:r>
      <w:proofErr w:type="spellEnd"/>
    </w:p>
    <w:p w14:paraId="08A5B3B6" w14:textId="41E3FF53" w:rsidR="00420191" w:rsidRPr="00BC3FAB" w:rsidRDefault="00F86383" w:rsidP="00BC3FAB">
      <w:pPr>
        <w:pStyle w:val="ListParagraph"/>
        <w:numPr>
          <w:ilvl w:val="1"/>
          <w:numId w:val="26"/>
        </w:numPr>
        <w:ind w:hanging="219"/>
        <w:jc w:val="both"/>
        <w:rPr>
          <w:rFonts w:ascii="Times New Roman" w:hAnsi="Times New Roman" w:cs="Times New Roman"/>
          <w:sz w:val="24"/>
          <w:szCs w:val="24"/>
          <w:lang w:val="bg-BG"/>
        </w:rPr>
      </w:pPr>
      <w:r w:rsidRPr="00BC3FAB">
        <w:rPr>
          <w:rFonts w:ascii="Times New Roman" w:hAnsi="Times New Roman" w:cs="Times New Roman"/>
          <w:b/>
          <w:bCs/>
          <w:sz w:val="24"/>
          <w:szCs w:val="24"/>
        </w:rPr>
        <w:lastRenderedPageBreak/>
        <w:t>Abstract:</w:t>
      </w:r>
      <w:r w:rsidRPr="00BC3FAB">
        <w:rPr>
          <w:rFonts w:ascii="Times New Roman" w:hAnsi="Times New Roman" w:cs="Times New Roman"/>
          <w:b/>
          <w:bCs/>
          <w:sz w:val="24"/>
          <w:szCs w:val="24"/>
          <w:lang w:val="bg-BG"/>
        </w:rPr>
        <w:t xml:space="preserve"> </w:t>
      </w:r>
      <w:r w:rsidR="00BC3FAB" w:rsidRPr="00BC3FAB">
        <w:rPr>
          <w:rFonts w:ascii="Times New Roman" w:hAnsi="Times New Roman" w:cs="Times New Roman"/>
          <w:sz w:val="24"/>
          <w:szCs w:val="24"/>
        </w:rPr>
        <w:t>Objective: For the past several years the screening and diagnostic tests for Down syndrome have evolved rapidly with the introduction of the non-invasive prenatal testing. However, not all of the women are aware of new test options. That is why the aim of our survey is to investigate the women’s awareness towards prenatal Down syndrome tests in Bulgaria.</w:t>
      </w:r>
      <w:r w:rsidR="00BC3FAB" w:rsidRPr="00BC3FAB">
        <w:rPr>
          <w:rFonts w:ascii="Times New Roman" w:hAnsi="Times New Roman" w:cs="Times New Roman"/>
          <w:sz w:val="24"/>
          <w:szCs w:val="24"/>
          <w:lang w:val="bg-BG"/>
        </w:rPr>
        <w:t xml:space="preserve"> </w:t>
      </w:r>
      <w:r w:rsidR="00BC3FAB" w:rsidRPr="00BC3FAB">
        <w:rPr>
          <w:rFonts w:ascii="Times New Roman" w:hAnsi="Times New Roman" w:cs="Times New Roman"/>
          <w:sz w:val="24"/>
          <w:szCs w:val="24"/>
        </w:rPr>
        <w:t>Methods: А survey was conducted among 500 randomly selected females from 18 to 47. It was designed as a prospective study carried out both online and at the genetic counseling office in the Laboratory of Medical Genetics, Varna. All the information was collected between January 2018 and June 2018.</w:t>
      </w:r>
      <w:r w:rsidR="00BC3FAB" w:rsidRPr="00BC3FAB">
        <w:rPr>
          <w:rFonts w:ascii="Times New Roman" w:hAnsi="Times New Roman" w:cs="Times New Roman"/>
          <w:sz w:val="24"/>
          <w:szCs w:val="24"/>
          <w:lang w:val="bg-BG"/>
        </w:rPr>
        <w:t xml:space="preserve"> </w:t>
      </w:r>
      <w:r w:rsidR="00BC3FAB" w:rsidRPr="00BC3FAB">
        <w:rPr>
          <w:rFonts w:ascii="Times New Roman" w:hAnsi="Times New Roman" w:cs="Times New Roman"/>
          <w:sz w:val="24"/>
          <w:szCs w:val="24"/>
        </w:rPr>
        <w:t>Results: 384 (76.3%) of the women received information about the different tests option from their obstetrician. The rest 116 (23.7%) were self-educated. In total 345 (68.5%) of the females were satisfied with the Down syndrome tests information provided by their obstetrician. They had better knowledge of what biochemical screening is - 128 (25.4%) marked very good and 207 (41.2%) - good. When asked about the NIPT test, 202 (40.2%) did not know what NIPT was. 222 (44.4%) defined their knowledge about the amniocentesis as very good or good. However, only 65 (13.0%) would definitely undergo this procedure, if indicated. According to the results, for 346 (68.8%) women the accuracy of the test is most important when choosing a method for Down syndrome testing. Although the price was placed third as a factor for preferring a prenatal Down syndrome test, almost 80% of the questioned women said that they are willing to pay no more than 150 euros.</w:t>
      </w:r>
      <w:r w:rsidR="00BC3FAB" w:rsidRPr="00BC3FAB">
        <w:rPr>
          <w:rFonts w:ascii="Times New Roman" w:hAnsi="Times New Roman" w:cs="Times New Roman"/>
          <w:sz w:val="24"/>
          <w:szCs w:val="24"/>
          <w:lang w:val="bg-BG"/>
        </w:rPr>
        <w:t xml:space="preserve"> </w:t>
      </w:r>
      <w:r w:rsidR="00BC3FAB" w:rsidRPr="00BC3FAB">
        <w:rPr>
          <w:rFonts w:ascii="Times New Roman" w:hAnsi="Times New Roman" w:cs="Times New Roman"/>
          <w:sz w:val="24"/>
          <w:szCs w:val="24"/>
        </w:rPr>
        <w:t>Conclusion: The results from the survey demonstrate the lack of knowledge about the offered screening and diagnostic tests for Down syndrome, especially NIPT. Better education and counseling of women during their pregnancy consultations are recommended</w:t>
      </w:r>
    </w:p>
    <w:p w14:paraId="12A6801A" w14:textId="77777777" w:rsidR="00BC3FAB" w:rsidRPr="00BC3FAB" w:rsidRDefault="00BC3FAB" w:rsidP="00BC3FAB">
      <w:pPr>
        <w:pStyle w:val="ListParagraph"/>
        <w:ind w:left="1070"/>
        <w:jc w:val="both"/>
        <w:rPr>
          <w:rFonts w:ascii="Times New Roman" w:hAnsi="Times New Roman" w:cs="Times New Roman"/>
          <w:sz w:val="24"/>
          <w:szCs w:val="24"/>
          <w:lang w:val="bg-BG"/>
        </w:rPr>
      </w:pPr>
    </w:p>
    <w:p w14:paraId="1A429190" w14:textId="45888958" w:rsidR="00F36132" w:rsidRPr="00D63F50" w:rsidRDefault="00BC3FAB" w:rsidP="00F36132">
      <w:pPr>
        <w:pStyle w:val="ListParagraph"/>
        <w:numPr>
          <w:ilvl w:val="0"/>
          <w:numId w:val="26"/>
        </w:numPr>
        <w:jc w:val="both"/>
        <w:rPr>
          <w:rFonts w:ascii="Times New Roman" w:hAnsi="Times New Roman" w:cs="Times New Roman"/>
          <w:sz w:val="24"/>
          <w:szCs w:val="24"/>
        </w:rPr>
      </w:pPr>
      <w:proofErr w:type="spellStart"/>
      <w:r w:rsidRPr="00BC3FAB">
        <w:rPr>
          <w:rFonts w:ascii="Times New Roman" w:hAnsi="Times New Roman" w:cs="Times New Roman"/>
          <w:sz w:val="24"/>
          <w:szCs w:val="24"/>
        </w:rPr>
        <w:t>Hachmeriyan</w:t>
      </w:r>
      <w:proofErr w:type="spellEnd"/>
      <w:r w:rsidRPr="00BC3FAB">
        <w:rPr>
          <w:rFonts w:ascii="Times New Roman" w:hAnsi="Times New Roman" w:cs="Times New Roman"/>
          <w:sz w:val="24"/>
          <w:szCs w:val="24"/>
        </w:rPr>
        <w:t xml:space="preserve">, M., Andonova, S., </w:t>
      </w:r>
      <w:r w:rsidRPr="00BC3FAB">
        <w:rPr>
          <w:rFonts w:ascii="Times New Roman" w:hAnsi="Times New Roman" w:cs="Times New Roman"/>
          <w:b/>
          <w:bCs/>
          <w:sz w:val="24"/>
          <w:szCs w:val="24"/>
        </w:rPr>
        <w:t>Levkova, M.</w:t>
      </w:r>
      <w:r w:rsidRPr="00BC3FAB">
        <w:rPr>
          <w:rFonts w:ascii="Times New Roman" w:hAnsi="Times New Roman" w:cs="Times New Roman"/>
          <w:sz w:val="24"/>
          <w:szCs w:val="24"/>
        </w:rPr>
        <w:t xml:space="preserve">, Stoyanova, M., &amp; </w:t>
      </w:r>
      <w:proofErr w:type="spellStart"/>
      <w:r w:rsidRPr="00BC3FAB">
        <w:rPr>
          <w:rFonts w:ascii="Times New Roman" w:hAnsi="Times New Roman" w:cs="Times New Roman"/>
          <w:sz w:val="24"/>
          <w:szCs w:val="24"/>
        </w:rPr>
        <w:t>Kalchev</w:t>
      </w:r>
      <w:proofErr w:type="spellEnd"/>
      <w:r w:rsidRPr="00BC3FAB">
        <w:rPr>
          <w:rFonts w:ascii="Times New Roman" w:hAnsi="Times New Roman" w:cs="Times New Roman"/>
          <w:sz w:val="24"/>
          <w:szCs w:val="24"/>
        </w:rPr>
        <w:t xml:space="preserve">, K. (2018). </w:t>
      </w:r>
      <w:r w:rsidRPr="00BC3FAB">
        <w:rPr>
          <w:rFonts w:ascii="Times New Roman" w:hAnsi="Times New Roman" w:cs="Times New Roman"/>
          <w:i/>
          <w:iCs/>
          <w:sz w:val="24"/>
          <w:szCs w:val="24"/>
        </w:rPr>
        <w:t>Challenging Reproductive Genetic Counseling in Families at High Risk for Rare Genetic Syndromes–A Case Report with Possible Denys-</w:t>
      </w:r>
      <w:proofErr w:type="spellStart"/>
      <w:r w:rsidRPr="00BC3FAB">
        <w:rPr>
          <w:rFonts w:ascii="Times New Roman" w:hAnsi="Times New Roman" w:cs="Times New Roman"/>
          <w:i/>
          <w:iCs/>
          <w:sz w:val="24"/>
          <w:szCs w:val="24"/>
        </w:rPr>
        <w:t>Drash</w:t>
      </w:r>
      <w:proofErr w:type="spellEnd"/>
      <w:r w:rsidRPr="00BC3FAB">
        <w:rPr>
          <w:rFonts w:ascii="Times New Roman" w:hAnsi="Times New Roman" w:cs="Times New Roman"/>
          <w:i/>
          <w:iCs/>
          <w:sz w:val="24"/>
          <w:szCs w:val="24"/>
        </w:rPr>
        <w:t xml:space="preserve"> Syndrome</w:t>
      </w:r>
      <w:r w:rsidRPr="00BC3FAB">
        <w:rPr>
          <w:rFonts w:ascii="Times New Roman" w:hAnsi="Times New Roman" w:cs="Times New Roman"/>
          <w:sz w:val="24"/>
          <w:szCs w:val="24"/>
        </w:rPr>
        <w:t xml:space="preserve">. J Genet </w:t>
      </w:r>
      <w:proofErr w:type="spellStart"/>
      <w:r w:rsidRPr="00BC3FAB">
        <w:rPr>
          <w:rFonts w:ascii="Times New Roman" w:hAnsi="Times New Roman" w:cs="Times New Roman"/>
          <w:sz w:val="24"/>
          <w:szCs w:val="24"/>
        </w:rPr>
        <w:t>Disor</w:t>
      </w:r>
      <w:proofErr w:type="spellEnd"/>
      <w:r w:rsidRPr="00BC3FAB">
        <w:rPr>
          <w:rFonts w:ascii="Times New Roman" w:hAnsi="Times New Roman" w:cs="Times New Roman"/>
          <w:sz w:val="24"/>
          <w:szCs w:val="24"/>
        </w:rPr>
        <w:t xml:space="preserve"> Genet Rep 7, 1, 2.</w:t>
      </w:r>
    </w:p>
    <w:p w14:paraId="77452F75" w14:textId="77777777" w:rsidR="00D9154B" w:rsidRPr="00F20C1F" w:rsidRDefault="00D9154B" w:rsidP="00D9154B">
      <w:pPr>
        <w:pStyle w:val="ListParagraph"/>
        <w:jc w:val="both"/>
        <w:rPr>
          <w:rFonts w:ascii="Times New Roman" w:hAnsi="Times New Roman" w:cs="Times New Roman"/>
          <w:sz w:val="24"/>
          <w:szCs w:val="24"/>
          <w:highlight w:val="yellow"/>
        </w:rPr>
      </w:pPr>
    </w:p>
    <w:p w14:paraId="0A0BE0CF" w14:textId="04541A20" w:rsidR="00D9154B" w:rsidRDefault="00D9154B" w:rsidP="007C3B9D">
      <w:pPr>
        <w:pStyle w:val="ListParagraph"/>
        <w:numPr>
          <w:ilvl w:val="0"/>
          <w:numId w:val="31"/>
        </w:numPr>
        <w:ind w:left="993" w:hanging="142"/>
        <w:jc w:val="both"/>
        <w:rPr>
          <w:rFonts w:ascii="Times New Roman" w:hAnsi="Times New Roman" w:cs="Times New Roman"/>
          <w:b/>
          <w:bCs/>
          <w:sz w:val="24"/>
          <w:szCs w:val="24"/>
        </w:rPr>
      </w:pPr>
      <w:r w:rsidRPr="00BC3FAB">
        <w:rPr>
          <w:rFonts w:ascii="Times New Roman" w:hAnsi="Times New Roman" w:cs="Times New Roman"/>
          <w:b/>
          <w:bCs/>
          <w:sz w:val="24"/>
          <w:szCs w:val="24"/>
          <w:lang w:val="bg-BG"/>
        </w:rPr>
        <w:t>Резюме</w:t>
      </w:r>
      <w:r w:rsidRPr="00BC3FAB">
        <w:rPr>
          <w:rFonts w:ascii="Times New Roman" w:hAnsi="Times New Roman" w:cs="Times New Roman"/>
          <w:b/>
          <w:bCs/>
          <w:sz w:val="24"/>
          <w:szCs w:val="24"/>
        </w:rPr>
        <w:t xml:space="preserve">: </w:t>
      </w:r>
      <w:bookmarkStart w:id="14" w:name="_Hlk144325220"/>
      <w:proofErr w:type="spellStart"/>
      <w:r w:rsidR="00BC3FAB" w:rsidRPr="00BC3FAB">
        <w:rPr>
          <w:rFonts w:ascii="Times New Roman" w:hAnsi="Times New Roman" w:cs="Times New Roman"/>
          <w:sz w:val="24"/>
          <w:szCs w:val="24"/>
        </w:rPr>
        <w:t>Изчисляването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риска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повторение</w:t>
      </w:r>
      <w:proofErr w:type="spellEnd"/>
      <w:r w:rsidR="00BC3FAB" w:rsidRPr="00BC3FAB">
        <w:rPr>
          <w:rFonts w:ascii="Times New Roman" w:hAnsi="Times New Roman" w:cs="Times New Roman"/>
          <w:sz w:val="24"/>
          <w:szCs w:val="24"/>
        </w:rPr>
        <w:t xml:space="preserve"> е </w:t>
      </w:r>
      <w:proofErr w:type="spellStart"/>
      <w:r w:rsidR="00BC3FAB" w:rsidRPr="00BC3FAB">
        <w:rPr>
          <w:rFonts w:ascii="Times New Roman" w:hAnsi="Times New Roman" w:cs="Times New Roman"/>
          <w:sz w:val="24"/>
          <w:szCs w:val="24"/>
        </w:rPr>
        <w:t>неразделна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част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ежедневната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практика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генетичния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консултант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възникват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определени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трудности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обясняването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му</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родителите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дете</w:t>
      </w:r>
      <w:proofErr w:type="spellEnd"/>
      <w:r w:rsidR="00BC3FAB" w:rsidRPr="00BC3FAB">
        <w:rPr>
          <w:rFonts w:ascii="Times New Roman" w:hAnsi="Times New Roman" w:cs="Times New Roman"/>
          <w:sz w:val="24"/>
          <w:szCs w:val="24"/>
        </w:rPr>
        <w:t xml:space="preserve"> с </w:t>
      </w:r>
      <w:proofErr w:type="spellStart"/>
      <w:r w:rsidR="00BC3FAB" w:rsidRPr="00BC3FAB">
        <w:rPr>
          <w:rFonts w:ascii="Times New Roman" w:hAnsi="Times New Roman" w:cs="Times New Roman"/>
          <w:sz w:val="24"/>
          <w:szCs w:val="24"/>
        </w:rPr>
        <w:t>рядък</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дисморфичен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синдром</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Представяме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случай</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семейство</w:t>
      </w:r>
      <w:proofErr w:type="spellEnd"/>
      <w:r w:rsidR="00BC3FAB" w:rsidRPr="00BC3FAB">
        <w:rPr>
          <w:rFonts w:ascii="Times New Roman" w:hAnsi="Times New Roman" w:cs="Times New Roman"/>
          <w:sz w:val="24"/>
          <w:szCs w:val="24"/>
        </w:rPr>
        <w:t xml:space="preserve"> с </w:t>
      </w:r>
      <w:proofErr w:type="spellStart"/>
      <w:r w:rsidR="00BC3FAB" w:rsidRPr="00BC3FAB">
        <w:rPr>
          <w:rFonts w:ascii="Times New Roman" w:hAnsi="Times New Roman" w:cs="Times New Roman"/>
          <w:sz w:val="24"/>
          <w:szCs w:val="24"/>
        </w:rPr>
        <w:t>първородно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новородено</w:t>
      </w:r>
      <w:proofErr w:type="spellEnd"/>
      <w:r w:rsidR="00BC3FAB" w:rsidRPr="00BC3FAB">
        <w:rPr>
          <w:rFonts w:ascii="Times New Roman" w:hAnsi="Times New Roman" w:cs="Times New Roman"/>
          <w:sz w:val="24"/>
          <w:szCs w:val="24"/>
        </w:rPr>
        <w:t xml:space="preserve"> с </w:t>
      </w:r>
      <w:proofErr w:type="spellStart"/>
      <w:r w:rsidR="00BC3FAB" w:rsidRPr="00BC3FAB">
        <w:rPr>
          <w:rFonts w:ascii="Times New Roman" w:hAnsi="Times New Roman" w:cs="Times New Roman"/>
          <w:sz w:val="24"/>
          <w:szCs w:val="24"/>
        </w:rPr>
        <w:t>множество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аномалии</w:t>
      </w:r>
      <w:proofErr w:type="spellEnd"/>
      <w:r w:rsidR="00BC3FAB" w:rsidRPr="00BC3FAB">
        <w:rPr>
          <w:rFonts w:ascii="Times New Roman" w:hAnsi="Times New Roman" w:cs="Times New Roman"/>
          <w:sz w:val="24"/>
          <w:szCs w:val="24"/>
        </w:rPr>
        <w:t xml:space="preserve"> и </w:t>
      </w:r>
      <w:proofErr w:type="spellStart"/>
      <w:r w:rsidR="00BC3FAB" w:rsidRPr="00BC3FAB">
        <w:rPr>
          <w:rFonts w:ascii="Times New Roman" w:hAnsi="Times New Roman" w:cs="Times New Roman"/>
          <w:sz w:val="24"/>
          <w:szCs w:val="24"/>
        </w:rPr>
        <w:t>exitus</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letalis</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регистриран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втория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ден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раждането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бебето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има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малформации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крайниците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Освен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това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диагностицирани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спонтанен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пневмоторакс</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неонатална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мозъчна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исхемия</w:t>
      </w:r>
      <w:proofErr w:type="spellEnd"/>
      <w:r w:rsidR="00BC3FAB" w:rsidRPr="00BC3FAB">
        <w:rPr>
          <w:rFonts w:ascii="Times New Roman" w:hAnsi="Times New Roman" w:cs="Times New Roman"/>
          <w:sz w:val="24"/>
          <w:szCs w:val="24"/>
        </w:rPr>
        <w:t xml:space="preserve"> и </w:t>
      </w:r>
      <w:proofErr w:type="spellStart"/>
      <w:r w:rsidR="00BC3FAB" w:rsidRPr="00BC3FAB">
        <w:rPr>
          <w:rFonts w:ascii="Times New Roman" w:hAnsi="Times New Roman" w:cs="Times New Roman"/>
          <w:sz w:val="24"/>
          <w:szCs w:val="24"/>
        </w:rPr>
        <w:t>интраамниотична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инфекция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аутопсията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установяват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допълнителни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множество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вътрешни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малформации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като</w:t>
      </w:r>
      <w:proofErr w:type="spellEnd"/>
      <w:r w:rsidR="00BC3FAB" w:rsidRPr="00BC3FAB">
        <w:rPr>
          <w:rFonts w:ascii="Times New Roman" w:hAnsi="Times New Roman" w:cs="Times New Roman"/>
          <w:sz w:val="24"/>
          <w:szCs w:val="24"/>
        </w:rPr>
        <w:t xml:space="preserve"> </w:t>
      </w:r>
      <w:r w:rsidR="0050134A">
        <w:rPr>
          <w:rFonts w:ascii="Times New Roman" w:hAnsi="Times New Roman" w:cs="Times New Roman"/>
          <w:sz w:val="24"/>
          <w:szCs w:val="24"/>
          <w:lang w:val="bg-BG"/>
        </w:rPr>
        <w:t>персистиращ</w:t>
      </w:r>
      <w:r w:rsidR="00BC3FAB" w:rsidRPr="00BC3FAB">
        <w:rPr>
          <w:rFonts w:ascii="Times New Roman" w:hAnsi="Times New Roman" w:cs="Times New Roman"/>
          <w:sz w:val="24"/>
          <w:szCs w:val="24"/>
        </w:rPr>
        <w:t xml:space="preserve"> foramen </w:t>
      </w:r>
      <w:proofErr w:type="spellStart"/>
      <w:r w:rsidR="00BC3FAB" w:rsidRPr="00BC3FAB">
        <w:rPr>
          <w:rFonts w:ascii="Times New Roman" w:hAnsi="Times New Roman" w:cs="Times New Roman"/>
          <w:sz w:val="24"/>
          <w:szCs w:val="24"/>
        </w:rPr>
        <w:t>ovale</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двурога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матка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допълнител</w:t>
      </w:r>
      <w:proofErr w:type="spellEnd"/>
      <w:r w:rsidR="0050134A">
        <w:rPr>
          <w:rFonts w:ascii="Times New Roman" w:hAnsi="Times New Roman" w:cs="Times New Roman"/>
          <w:sz w:val="24"/>
          <w:szCs w:val="24"/>
          <w:lang w:val="bg-BG"/>
        </w:rPr>
        <w:t>на слезка</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двустранна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хиперплазия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надбъбречните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жлези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едностранен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тумор</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r w:rsidR="0050134A">
        <w:rPr>
          <w:rFonts w:ascii="Times New Roman" w:hAnsi="Times New Roman" w:cs="Times New Roman"/>
          <w:sz w:val="24"/>
          <w:szCs w:val="24"/>
        </w:rPr>
        <w:t>Wilms</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левия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бъбрек</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дифузна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гломерулна</w:t>
      </w:r>
      <w:proofErr w:type="spellEnd"/>
      <w:r w:rsidR="00BC3FAB" w:rsidRPr="00BC3FAB">
        <w:rPr>
          <w:rFonts w:ascii="Times New Roman" w:hAnsi="Times New Roman" w:cs="Times New Roman"/>
          <w:sz w:val="24"/>
          <w:szCs w:val="24"/>
        </w:rPr>
        <w:t xml:space="preserve"> и </w:t>
      </w:r>
      <w:proofErr w:type="spellStart"/>
      <w:r w:rsidR="00BC3FAB" w:rsidRPr="00BC3FAB">
        <w:rPr>
          <w:rFonts w:ascii="Times New Roman" w:hAnsi="Times New Roman" w:cs="Times New Roman"/>
          <w:sz w:val="24"/>
          <w:szCs w:val="24"/>
        </w:rPr>
        <w:t>интерстициална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фиброза</w:t>
      </w:r>
      <w:proofErr w:type="spellEnd"/>
      <w:r w:rsidR="00BC3FAB" w:rsidRPr="00BC3FAB">
        <w:rPr>
          <w:rFonts w:ascii="Times New Roman" w:hAnsi="Times New Roman" w:cs="Times New Roman"/>
          <w:sz w:val="24"/>
          <w:szCs w:val="24"/>
        </w:rPr>
        <w:t xml:space="preserve"> и </w:t>
      </w:r>
      <w:proofErr w:type="spellStart"/>
      <w:r w:rsidR="00BC3FAB" w:rsidRPr="00BC3FAB">
        <w:rPr>
          <w:rFonts w:ascii="Times New Roman" w:hAnsi="Times New Roman" w:cs="Times New Roman"/>
          <w:sz w:val="24"/>
          <w:szCs w:val="24"/>
        </w:rPr>
        <w:t>протеинови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цилиндри</w:t>
      </w:r>
      <w:proofErr w:type="spellEnd"/>
      <w:r w:rsidR="00BC3FAB" w:rsidRPr="00BC3FAB">
        <w:rPr>
          <w:rFonts w:ascii="Times New Roman" w:hAnsi="Times New Roman" w:cs="Times New Roman"/>
          <w:sz w:val="24"/>
          <w:szCs w:val="24"/>
        </w:rPr>
        <w:t xml:space="preserve"> в </w:t>
      </w:r>
      <w:proofErr w:type="spellStart"/>
      <w:r w:rsidR="00BC3FAB" w:rsidRPr="00BC3FAB">
        <w:rPr>
          <w:rFonts w:ascii="Times New Roman" w:hAnsi="Times New Roman" w:cs="Times New Roman"/>
          <w:sz w:val="24"/>
          <w:szCs w:val="24"/>
        </w:rPr>
        <w:t>разширените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бъбречни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каналчета</w:t>
      </w:r>
      <w:proofErr w:type="spellEnd"/>
      <w:r w:rsidR="00BC3FAB" w:rsidRPr="00BC3FAB">
        <w:rPr>
          <w:rFonts w:ascii="Times New Roman" w:hAnsi="Times New Roman" w:cs="Times New Roman"/>
          <w:sz w:val="24"/>
          <w:szCs w:val="24"/>
        </w:rPr>
        <w:t xml:space="preserve">. </w:t>
      </w:r>
      <w:bookmarkEnd w:id="14"/>
      <w:proofErr w:type="spellStart"/>
      <w:r w:rsidR="00BC3FAB" w:rsidRPr="00BC3FAB">
        <w:rPr>
          <w:rFonts w:ascii="Times New Roman" w:hAnsi="Times New Roman" w:cs="Times New Roman"/>
          <w:sz w:val="24"/>
          <w:szCs w:val="24"/>
        </w:rPr>
        <w:t>Стандартното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кариотипиране</w:t>
      </w:r>
      <w:proofErr w:type="spellEnd"/>
      <w:r w:rsidR="00BC3FAB" w:rsidRPr="00BC3FAB">
        <w:rPr>
          <w:rFonts w:ascii="Times New Roman" w:hAnsi="Times New Roman" w:cs="Times New Roman"/>
          <w:sz w:val="24"/>
          <w:szCs w:val="24"/>
        </w:rPr>
        <w:t xml:space="preserve"> с GTG </w:t>
      </w:r>
      <w:r w:rsidR="0050134A">
        <w:rPr>
          <w:rFonts w:ascii="Times New Roman" w:hAnsi="Times New Roman" w:cs="Times New Roman"/>
          <w:sz w:val="24"/>
          <w:szCs w:val="24"/>
          <w:lang w:val="bg-BG"/>
        </w:rPr>
        <w:t>бендинг</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показа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нормален</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мъжки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кариотип</w:t>
      </w:r>
      <w:proofErr w:type="spellEnd"/>
      <w:r w:rsidR="00BC3FAB" w:rsidRPr="00BC3FAB">
        <w:rPr>
          <w:rFonts w:ascii="Times New Roman" w:hAnsi="Times New Roman" w:cs="Times New Roman"/>
          <w:sz w:val="24"/>
          <w:szCs w:val="24"/>
        </w:rPr>
        <w:t xml:space="preserve"> </w:t>
      </w:r>
      <w:proofErr w:type="gramStart"/>
      <w:r w:rsidR="00BC3FAB" w:rsidRPr="00BC3FAB">
        <w:rPr>
          <w:rFonts w:ascii="Times New Roman" w:hAnsi="Times New Roman" w:cs="Times New Roman"/>
          <w:sz w:val="24"/>
          <w:szCs w:val="24"/>
        </w:rPr>
        <w:t>46,XY</w:t>
      </w:r>
      <w:proofErr w:type="gramEnd"/>
      <w:r w:rsidR="00BC3FAB" w:rsidRPr="00BC3FAB">
        <w:rPr>
          <w:rFonts w:ascii="Times New Roman" w:hAnsi="Times New Roman" w:cs="Times New Roman"/>
          <w:sz w:val="24"/>
          <w:szCs w:val="24"/>
        </w:rPr>
        <w:t xml:space="preserve">,16qh+, </w:t>
      </w:r>
      <w:proofErr w:type="spellStart"/>
      <w:r w:rsidR="00BC3FAB" w:rsidRPr="00BC3FAB">
        <w:rPr>
          <w:rFonts w:ascii="Times New Roman" w:hAnsi="Times New Roman" w:cs="Times New Roman"/>
          <w:sz w:val="24"/>
          <w:szCs w:val="24"/>
        </w:rPr>
        <w:t>който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съответства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женския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фенотип</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гениталиите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пациента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Посмъртните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находки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заедно</w:t>
      </w:r>
      <w:proofErr w:type="spellEnd"/>
      <w:r w:rsidR="00BC3FAB" w:rsidRPr="00BC3FAB">
        <w:rPr>
          <w:rFonts w:ascii="Times New Roman" w:hAnsi="Times New Roman" w:cs="Times New Roman"/>
          <w:sz w:val="24"/>
          <w:szCs w:val="24"/>
        </w:rPr>
        <w:t xml:space="preserve"> с </w:t>
      </w:r>
      <w:proofErr w:type="spellStart"/>
      <w:r w:rsidR="00BC3FAB" w:rsidRPr="00BC3FAB">
        <w:rPr>
          <w:rFonts w:ascii="Times New Roman" w:hAnsi="Times New Roman" w:cs="Times New Roman"/>
          <w:sz w:val="24"/>
          <w:szCs w:val="24"/>
        </w:rPr>
        <w:lastRenderedPageBreak/>
        <w:t>несъответствието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между</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фенотип</w:t>
      </w:r>
      <w:proofErr w:type="spellEnd"/>
      <w:r w:rsidR="0050134A">
        <w:rPr>
          <w:rFonts w:ascii="Times New Roman" w:hAnsi="Times New Roman" w:cs="Times New Roman"/>
          <w:sz w:val="24"/>
          <w:szCs w:val="24"/>
          <w:lang w:val="bg-BG"/>
        </w:rPr>
        <w:t xml:space="preserve">ните </w:t>
      </w:r>
      <w:proofErr w:type="spellStart"/>
      <w:r w:rsidR="0050134A" w:rsidRPr="00BC3FAB">
        <w:rPr>
          <w:rFonts w:ascii="Times New Roman" w:hAnsi="Times New Roman" w:cs="Times New Roman"/>
          <w:sz w:val="24"/>
          <w:szCs w:val="24"/>
        </w:rPr>
        <w:t>полов</w:t>
      </w:r>
      <w:proofErr w:type="spellEnd"/>
      <w:r w:rsidR="0050134A">
        <w:rPr>
          <w:rFonts w:ascii="Times New Roman" w:hAnsi="Times New Roman" w:cs="Times New Roman"/>
          <w:sz w:val="24"/>
          <w:szCs w:val="24"/>
          <w:lang w:val="bg-BG"/>
        </w:rPr>
        <w:t>и белези</w:t>
      </w:r>
      <w:r w:rsidR="00BC3FAB" w:rsidRPr="00BC3FAB">
        <w:rPr>
          <w:rFonts w:ascii="Times New Roman" w:hAnsi="Times New Roman" w:cs="Times New Roman"/>
          <w:sz w:val="24"/>
          <w:szCs w:val="24"/>
        </w:rPr>
        <w:t xml:space="preserve"> и </w:t>
      </w:r>
      <w:r w:rsidR="0050134A">
        <w:rPr>
          <w:rFonts w:ascii="Times New Roman" w:hAnsi="Times New Roman" w:cs="Times New Roman"/>
          <w:sz w:val="24"/>
          <w:szCs w:val="24"/>
          <w:lang w:val="bg-BG"/>
        </w:rPr>
        <w:t xml:space="preserve">установения </w:t>
      </w:r>
      <w:proofErr w:type="spellStart"/>
      <w:r w:rsidR="00BC3FAB" w:rsidRPr="00BC3FAB">
        <w:rPr>
          <w:rFonts w:ascii="Times New Roman" w:hAnsi="Times New Roman" w:cs="Times New Roman"/>
          <w:sz w:val="24"/>
          <w:szCs w:val="24"/>
        </w:rPr>
        <w:t>генотип</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предполагат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синдрома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Денис-Драш</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като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възможна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диагноза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Амплификацията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всички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екзони</w:t>
      </w:r>
      <w:proofErr w:type="spellEnd"/>
      <w:r w:rsidR="00BC3FAB" w:rsidRPr="00BC3FAB">
        <w:rPr>
          <w:rFonts w:ascii="Times New Roman" w:hAnsi="Times New Roman" w:cs="Times New Roman"/>
          <w:sz w:val="24"/>
          <w:szCs w:val="24"/>
        </w:rPr>
        <w:t xml:space="preserve">, с </w:t>
      </w:r>
      <w:proofErr w:type="spellStart"/>
      <w:r w:rsidR="00BC3FAB" w:rsidRPr="00BC3FAB">
        <w:rPr>
          <w:rFonts w:ascii="Times New Roman" w:hAnsi="Times New Roman" w:cs="Times New Roman"/>
          <w:sz w:val="24"/>
          <w:szCs w:val="24"/>
        </w:rPr>
        <w:t>изключение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екзон</w:t>
      </w:r>
      <w:proofErr w:type="spellEnd"/>
      <w:r w:rsidR="00BC3FAB" w:rsidRPr="00BC3FAB">
        <w:rPr>
          <w:rFonts w:ascii="Times New Roman" w:hAnsi="Times New Roman" w:cs="Times New Roman"/>
          <w:sz w:val="24"/>
          <w:szCs w:val="24"/>
        </w:rPr>
        <w:t xml:space="preserve"> 9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гена</w:t>
      </w:r>
      <w:proofErr w:type="spellEnd"/>
      <w:r w:rsidR="00BC3FAB" w:rsidRPr="00BC3FAB">
        <w:rPr>
          <w:rFonts w:ascii="Times New Roman" w:hAnsi="Times New Roman" w:cs="Times New Roman"/>
          <w:sz w:val="24"/>
          <w:szCs w:val="24"/>
        </w:rPr>
        <w:t xml:space="preserve"> WT1, </w:t>
      </w:r>
      <w:proofErr w:type="spellStart"/>
      <w:r w:rsidR="00BC3FAB" w:rsidRPr="00BC3FAB">
        <w:rPr>
          <w:rFonts w:ascii="Times New Roman" w:hAnsi="Times New Roman" w:cs="Times New Roman"/>
          <w:sz w:val="24"/>
          <w:szCs w:val="24"/>
        </w:rPr>
        <w:t>не</w:t>
      </w:r>
      <w:proofErr w:type="spellEnd"/>
      <w:r w:rsidR="00BC3FAB" w:rsidRPr="00BC3FAB">
        <w:rPr>
          <w:rFonts w:ascii="Times New Roman" w:hAnsi="Times New Roman" w:cs="Times New Roman"/>
          <w:sz w:val="24"/>
          <w:szCs w:val="24"/>
        </w:rPr>
        <w:t xml:space="preserve"> е </w:t>
      </w:r>
      <w:proofErr w:type="spellStart"/>
      <w:r w:rsidR="00BC3FAB" w:rsidRPr="00BC3FAB">
        <w:rPr>
          <w:rFonts w:ascii="Times New Roman" w:hAnsi="Times New Roman" w:cs="Times New Roman"/>
          <w:sz w:val="24"/>
          <w:szCs w:val="24"/>
        </w:rPr>
        <w:t>успешна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при</w:t>
      </w:r>
      <w:proofErr w:type="spellEnd"/>
      <w:r w:rsidR="00BC3FAB" w:rsidRPr="00BC3FAB">
        <w:rPr>
          <w:rFonts w:ascii="Times New Roman" w:hAnsi="Times New Roman" w:cs="Times New Roman"/>
          <w:sz w:val="24"/>
          <w:szCs w:val="24"/>
        </w:rPr>
        <w:t xml:space="preserve"> ДНК, </w:t>
      </w:r>
      <w:proofErr w:type="spellStart"/>
      <w:r w:rsidR="00BC3FAB" w:rsidRPr="00BC3FAB">
        <w:rPr>
          <w:rFonts w:ascii="Times New Roman" w:hAnsi="Times New Roman" w:cs="Times New Roman"/>
          <w:sz w:val="24"/>
          <w:szCs w:val="24"/>
        </w:rPr>
        <w:t>извлечена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от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формалин-фиксирана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парафинова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тъкан</w:t>
      </w:r>
      <w:proofErr w:type="spellEnd"/>
      <w:r w:rsidR="00BC3FAB" w:rsidRPr="00BC3FAB">
        <w:rPr>
          <w:rFonts w:ascii="Times New Roman" w:hAnsi="Times New Roman" w:cs="Times New Roman"/>
          <w:sz w:val="24"/>
          <w:szCs w:val="24"/>
        </w:rPr>
        <w:t xml:space="preserve"> (FFPET). </w:t>
      </w:r>
      <w:proofErr w:type="spellStart"/>
      <w:r w:rsidR="00BC3FAB" w:rsidRPr="00BC3FAB">
        <w:rPr>
          <w:rFonts w:ascii="Times New Roman" w:hAnsi="Times New Roman" w:cs="Times New Roman"/>
          <w:sz w:val="24"/>
          <w:szCs w:val="24"/>
        </w:rPr>
        <w:t>Секвенирането</w:t>
      </w:r>
      <w:proofErr w:type="spellEnd"/>
      <w:r w:rsidR="00BC3FAB" w:rsidRPr="00BC3FAB">
        <w:rPr>
          <w:rFonts w:ascii="Times New Roman" w:hAnsi="Times New Roman" w:cs="Times New Roman"/>
          <w:sz w:val="24"/>
          <w:szCs w:val="24"/>
        </w:rPr>
        <w:t xml:space="preserve"> </w:t>
      </w:r>
      <w:r w:rsidR="0050134A">
        <w:rPr>
          <w:rFonts w:ascii="Times New Roman" w:hAnsi="Times New Roman" w:cs="Times New Roman"/>
          <w:sz w:val="24"/>
          <w:szCs w:val="24"/>
          <w:lang w:val="bg-BG"/>
        </w:rPr>
        <w:t>по</w:t>
      </w:r>
      <w:r w:rsidR="00BC3FAB" w:rsidRPr="00BC3FAB">
        <w:rPr>
          <w:rFonts w:ascii="Times New Roman" w:hAnsi="Times New Roman" w:cs="Times New Roman"/>
          <w:sz w:val="24"/>
          <w:szCs w:val="24"/>
        </w:rPr>
        <w:t xml:space="preserve"> Sanger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екзон</w:t>
      </w:r>
      <w:proofErr w:type="spellEnd"/>
      <w:r w:rsidR="00BC3FAB" w:rsidRPr="00BC3FAB">
        <w:rPr>
          <w:rFonts w:ascii="Times New Roman" w:hAnsi="Times New Roman" w:cs="Times New Roman"/>
          <w:sz w:val="24"/>
          <w:szCs w:val="24"/>
        </w:rPr>
        <w:t xml:space="preserve"> 9 </w:t>
      </w:r>
      <w:proofErr w:type="spellStart"/>
      <w:r w:rsidR="00BC3FAB" w:rsidRPr="00BC3FAB">
        <w:rPr>
          <w:rFonts w:ascii="Times New Roman" w:hAnsi="Times New Roman" w:cs="Times New Roman"/>
          <w:sz w:val="24"/>
          <w:szCs w:val="24"/>
        </w:rPr>
        <w:t>не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разкри</w:t>
      </w:r>
      <w:proofErr w:type="spellEnd"/>
      <w:r w:rsidR="00BC3FAB" w:rsidRPr="00BC3FAB">
        <w:rPr>
          <w:rFonts w:ascii="Times New Roman" w:hAnsi="Times New Roman" w:cs="Times New Roman"/>
          <w:sz w:val="24"/>
          <w:szCs w:val="24"/>
        </w:rPr>
        <w:t xml:space="preserve"> </w:t>
      </w:r>
      <w:r w:rsidR="0050134A">
        <w:rPr>
          <w:rFonts w:ascii="Times New Roman" w:hAnsi="Times New Roman" w:cs="Times New Roman"/>
          <w:sz w:val="24"/>
          <w:szCs w:val="24"/>
          <w:lang w:val="bg-BG"/>
        </w:rPr>
        <w:t>подлежаща</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мутация</w:t>
      </w:r>
      <w:proofErr w:type="spellEnd"/>
      <w:r w:rsidR="00BC3FAB" w:rsidRPr="00BC3FAB">
        <w:rPr>
          <w:rFonts w:ascii="Times New Roman" w:hAnsi="Times New Roman" w:cs="Times New Roman"/>
          <w:sz w:val="24"/>
          <w:szCs w:val="24"/>
        </w:rPr>
        <w:t xml:space="preserve">. В </w:t>
      </w:r>
      <w:proofErr w:type="spellStart"/>
      <w:r w:rsidR="00BC3FAB" w:rsidRPr="00BC3FAB">
        <w:rPr>
          <w:rFonts w:ascii="Times New Roman" w:hAnsi="Times New Roman" w:cs="Times New Roman"/>
          <w:sz w:val="24"/>
          <w:szCs w:val="24"/>
        </w:rPr>
        <w:t>настоящия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случай</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тежк</w:t>
      </w:r>
      <w:proofErr w:type="spellEnd"/>
      <w:r w:rsidR="0050134A">
        <w:rPr>
          <w:rFonts w:ascii="Times New Roman" w:hAnsi="Times New Roman" w:cs="Times New Roman"/>
          <w:sz w:val="24"/>
          <w:szCs w:val="24"/>
          <w:lang w:val="bg-BG"/>
        </w:rPr>
        <w:t>а</w:t>
      </w:r>
      <w:r w:rsidR="00BC3FAB" w:rsidRPr="00BC3FAB">
        <w:rPr>
          <w:rFonts w:ascii="Times New Roman" w:hAnsi="Times New Roman" w:cs="Times New Roman"/>
          <w:sz w:val="24"/>
          <w:szCs w:val="24"/>
        </w:rPr>
        <w:t>т</w:t>
      </w:r>
      <w:r w:rsidR="0050134A">
        <w:rPr>
          <w:rFonts w:ascii="Times New Roman" w:hAnsi="Times New Roman" w:cs="Times New Roman"/>
          <w:sz w:val="24"/>
          <w:szCs w:val="24"/>
          <w:lang w:val="bg-BG"/>
        </w:rPr>
        <w:t>а</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неонаталн</w:t>
      </w:r>
      <w:proofErr w:type="spellEnd"/>
      <w:r w:rsidR="0050134A">
        <w:rPr>
          <w:rFonts w:ascii="Times New Roman" w:hAnsi="Times New Roman" w:cs="Times New Roman"/>
          <w:sz w:val="24"/>
          <w:szCs w:val="24"/>
          <w:lang w:val="bg-BG"/>
        </w:rPr>
        <w:t xml:space="preserve">а симптоматика </w:t>
      </w:r>
      <w:r w:rsidR="00BC3FAB" w:rsidRPr="00BC3FAB">
        <w:rPr>
          <w:rFonts w:ascii="Times New Roman" w:hAnsi="Times New Roman" w:cs="Times New Roman"/>
          <w:sz w:val="24"/>
          <w:szCs w:val="24"/>
        </w:rPr>
        <w:t xml:space="preserve">и </w:t>
      </w:r>
      <w:proofErr w:type="spellStart"/>
      <w:r w:rsidR="00BC3FAB" w:rsidRPr="00BC3FAB">
        <w:rPr>
          <w:rFonts w:ascii="Times New Roman" w:hAnsi="Times New Roman" w:cs="Times New Roman"/>
          <w:sz w:val="24"/>
          <w:szCs w:val="24"/>
        </w:rPr>
        <w:t>липсата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молекулярн</w:t>
      </w:r>
      <w:proofErr w:type="spellEnd"/>
      <w:r w:rsidR="0050134A">
        <w:rPr>
          <w:rFonts w:ascii="Times New Roman" w:hAnsi="Times New Roman" w:cs="Times New Roman"/>
          <w:sz w:val="24"/>
          <w:szCs w:val="24"/>
          <w:lang w:val="bg-BG"/>
        </w:rPr>
        <w:t>о потвърждаване</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затрудняват</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даването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сигурна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прогноза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риска</w:t>
      </w:r>
      <w:proofErr w:type="spellEnd"/>
      <w:r w:rsidR="00BC3FAB" w:rsidRPr="00BC3FAB">
        <w:rPr>
          <w:rFonts w:ascii="Times New Roman" w:hAnsi="Times New Roman" w:cs="Times New Roman"/>
          <w:sz w:val="24"/>
          <w:szCs w:val="24"/>
        </w:rPr>
        <w:t xml:space="preserve"> </w:t>
      </w:r>
      <w:r w:rsidR="0050134A">
        <w:rPr>
          <w:rFonts w:ascii="Times New Roman" w:hAnsi="Times New Roman" w:cs="Times New Roman"/>
          <w:sz w:val="24"/>
          <w:szCs w:val="24"/>
          <w:lang w:val="bg-BG"/>
        </w:rPr>
        <w:t>за повторение</w:t>
      </w:r>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Репродуктивното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генетично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консултиране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семейства</w:t>
      </w:r>
      <w:proofErr w:type="spellEnd"/>
      <w:r w:rsidR="00BC3FAB" w:rsidRPr="00BC3FAB">
        <w:rPr>
          <w:rFonts w:ascii="Times New Roman" w:hAnsi="Times New Roman" w:cs="Times New Roman"/>
          <w:sz w:val="24"/>
          <w:szCs w:val="24"/>
        </w:rPr>
        <w:t xml:space="preserve"> с </w:t>
      </w:r>
      <w:proofErr w:type="spellStart"/>
      <w:r w:rsidR="00BC3FAB" w:rsidRPr="00BC3FAB">
        <w:rPr>
          <w:rFonts w:ascii="Times New Roman" w:hAnsi="Times New Roman" w:cs="Times New Roman"/>
          <w:sz w:val="24"/>
          <w:szCs w:val="24"/>
        </w:rPr>
        <w:t>редки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генетични</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заболявания</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може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да</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бъде</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голямо</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предизвикателство</w:t>
      </w:r>
      <w:proofErr w:type="spellEnd"/>
      <w:r w:rsidR="00BC3FAB" w:rsidRPr="00BC3FAB">
        <w:rPr>
          <w:rFonts w:ascii="Times New Roman" w:hAnsi="Times New Roman" w:cs="Times New Roman"/>
          <w:sz w:val="24"/>
          <w:szCs w:val="24"/>
        </w:rPr>
        <w:t>.</w:t>
      </w:r>
    </w:p>
    <w:p w14:paraId="1C8F8792" w14:textId="77777777" w:rsidR="00BC3FAB" w:rsidRPr="00BC3FAB" w:rsidRDefault="00BC3FAB" w:rsidP="00BC3FAB">
      <w:pPr>
        <w:pStyle w:val="ListParagraph"/>
        <w:ind w:left="993"/>
        <w:jc w:val="both"/>
        <w:rPr>
          <w:rFonts w:ascii="Times New Roman" w:hAnsi="Times New Roman" w:cs="Times New Roman"/>
          <w:b/>
          <w:bCs/>
          <w:sz w:val="24"/>
          <w:szCs w:val="24"/>
        </w:rPr>
      </w:pPr>
    </w:p>
    <w:p w14:paraId="1E3836D6" w14:textId="455F47DA" w:rsidR="00D9154B" w:rsidRDefault="00D9154B" w:rsidP="00BC3FAB">
      <w:pPr>
        <w:pStyle w:val="ListParagraph"/>
        <w:numPr>
          <w:ilvl w:val="0"/>
          <w:numId w:val="31"/>
        </w:numPr>
        <w:ind w:left="993" w:hanging="142"/>
        <w:jc w:val="both"/>
        <w:rPr>
          <w:rFonts w:ascii="Times New Roman" w:hAnsi="Times New Roman" w:cs="Times New Roman"/>
          <w:sz w:val="24"/>
          <w:szCs w:val="24"/>
        </w:rPr>
      </w:pPr>
      <w:r w:rsidRPr="00BC3FAB">
        <w:rPr>
          <w:rFonts w:ascii="Times New Roman" w:hAnsi="Times New Roman" w:cs="Times New Roman"/>
          <w:b/>
          <w:bCs/>
          <w:sz w:val="24"/>
          <w:szCs w:val="24"/>
        </w:rPr>
        <w:t xml:space="preserve">Abstract: </w:t>
      </w:r>
      <w:r w:rsidR="00BC3FAB" w:rsidRPr="00BC3FAB">
        <w:rPr>
          <w:rFonts w:ascii="Times New Roman" w:hAnsi="Times New Roman" w:cs="Times New Roman"/>
          <w:sz w:val="24"/>
          <w:szCs w:val="24"/>
        </w:rPr>
        <w:t xml:space="preserve">Calculating the recurrence risk is an integral part of everyday practice of the genetic counselor, but certain difficulties occur when explaining it to the parents of a child with a rare dysmorphic syndrome. We present a case of a family with first newborn with multiple anomalies and </w:t>
      </w:r>
      <w:proofErr w:type="spellStart"/>
      <w:r w:rsidR="00BC3FAB" w:rsidRPr="00BC3FAB">
        <w:rPr>
          <w:rFonts w:ascii="Times New Roman" w:hAnsi="Times New Roman" w:cs="Times New Roman"/>
          <w:sz w:val="24"/>
          <w:szCs w:val="24"/>
        </w:rPr>
        <w:t>exitus</w:t>
      </w:r>
      <w:proofErr w:type="spellEnd"/>
      <w:r w:rsidR="00BC3FAB" w:rsidRPr="00BC3FAB">
        <w:rPr>
          <w:rFonts w:ascii="Times New Roman" w:hAnsi="Times New Roman" w:cs="Times New Roman"/>
          <w:sz w:val="24"/>
          <w:szCs w:val="24"/>
        </w:rPr>
        <w:t xml:space="preserve"> </w:t>
      </w:r>
      <w:proofErr w:type="spellStart"/>
      <w:r w:rsidR="00BC3FAB" w:rsidRPr="00BC3FAB">
        <w:rPr>
          <w:rFonts w:ascii="Times New Roman" w:hAnsi="Times New Roman" w:cs="Times New Roman"/>
          <w:sz w:val="24"/>
          <w:szCs w:val="24"/>
        </w:rPr>
        <w:t>letalis</w:t>
      </w:r>
      <w:proofErr w:type="spellEnd"/>
      <w:r w:rsidR="00BC3FAB" w:rsidRPr="00BC3FAB">
        <w:rPr>
          <w:rFonts w:ascii="Times New Roman" w:hAnsi="Times New Roman" w:cs="Times New Roman"/>
          <w:sz w:val="24"/>
          <w:szCs w:val="24"/>
        </w:rPr>
        <w:t xml:space="preserve">, registered on the second day. At birth, the baby presented with limb malformations. Additionally, a spontaneous pneumothorax, neonatal cerebral ischemia, and intraamniotic infection were diagnosed. A post-mortem examination revealed additional multiple internal malformations such as patent foramen </w:t>
      </w:r>
      <w:proofErr w:type="spellStart"/>
      <w:r w:rsidR="00BC3FAB" w:rsidRPr="00BC3FAB">
        <w:rPr>
          <w:rFonts w:ascii="Times New Roman" w:hAnsi="Times New Roman" w:cs="Times New Roman"/>
          <w:sz w:val="24"/>
          <w:szCs w:val="24"/>
        </w:rPr>
        <w:t>ovale</w:t>
      </w:r>
      <w:proofErr w:type="spellEnd"/>
      <w:r w:rsidR="00BC3FAB" w:rsidRPr="00BC3FAB">
        <w:rPr>
          <w:rFonts w:ascii="Times New Roman" w:hAnsi="Times New Roman" w:cs="Times New Roman"/>
          <w:sz w:val="24"/>
          <w:szCs w:val="24"/>
        </w:rPr>
        <w:t xml:space="preserve">, bicornuate uterus, accessory spleen, bilateral adrenal hyperplasia, unilateral Wilm’s tumor of the left kidney, diffuse glomerular and interstitial fibrosis, and protein cylinders in dilated renal tubules. Standard GTG banding karyotyping showed a normal male karyotype </w:t>
      </w:r>
      <w:proofErr w:type="gramStart"/>
      <w:r w:rsidR="00BC3FAB" w:rsidRPr="00BC3FAB">
        <w:rPr>
          <w:rFonts w:ascii="Times New Roman" w:hAnsi="Times New Roman" w:cs="Times New Roman"/>
          <w:sz w:val="24"/>
          <w:szCs w:val="24"/>
        </w:rPr>
        <w:t>46,XY</w:t>
      </w:r>
      <w:proofErr w:type="gramEnd"/>
      <w:r w:rsidR="00BC3FAB" w:rsidRPr="00BC3FAB">
        <w:rPr>
          <w:rFonts w:ascii="Times New Roman" w:hAnsi="Times New Roman" w:cs="Times New Roman"/>
          <w:sz w:val="24"/>
          <w:szCs w:val="24"/>
        </w:rPr>
        <w:t>,16qh+ that did not correspond to the female phenotype of the patient’s genitalia. Postmortem findings together with sex phenotype/genotype discordance suggested Denys-</w:t>
      </w:r>
      <w:proofErr w:type="spellStart"/>
      <w:r w:rsidR="00BC3FAB" w:rsidRPr="00BC3FAB">
        <w:rPr>
          <w:rFonts w:ascii="Times New Roman" w:hAnsi="Times New Roman" w:cs="Times New Roman"/>
          <w:sz w:val="24"/>
          <w:szCs w:val="24"/>
        </w:rPr>
        <w:t>Drash</w:t>
      </w:r>
      <w:proofErr w:type="spellEnd"/>
      <w:r w:rsidR="00BC3FAB" w:rsidRPr="00BC3FAB">
        <w:rPr>
          <w:rFonts w:ascii="Times New Roman" w:hAnsi="Times New Roman" w:cs="Times New Roman"/>
          <w:sz w:val="24"/>
          <w:szCs w:val="24"/>
        </w:rPr>
        <w:t xml:space="preserve"> syndrome as possible diagnosis. Amplification of all exons but exon 9 of WT1 gene was not successful on DNA extracted from formalin-fixed paraffin-embedded tissue (FFPET) sample. Sanger sequencing of exon 9 did not reveal a causative mutation. In current case the severe neonatal presentation and absence of molecular conformation complicated giving a certain prognosis for the recurrence risk. Reproductive genetic counseling in families with rare genetic conditions could be very challenging. </w:t>
      </w:r>
    </w:p>
    <w:p w14:paraId="45F108D5" w14:textId="77777777" w:rsidR="00773F67" w:rsidRDefault="00773F67" w:rsidP="00773F67">
      <w:pPr>
        <w:pStyle w:val="ListParagraph"/>
        <w:ind w:left="993"/>
        <w:jc w:val="both"/>
        <w:rPr>
          <w:rFonts w:ascii="Times New Roman" w:hAnsi="Times New Roman" w:cs="Times New Roman"/>
          <w:b/>
          <w:bCs/>
          <w:sz w:val="24"/>
          <w:szCs w:val="24"/>
        </w:rPr>
      </w:pPr>
    </w:p>
    <w:p w14:paraId="054540A0" w14:textId="77777777" w:rsidR="00773F67" w:rsidRPr="00BB5FD2" w:rsidRDefault="00773F67" w:rsidP="00773F67">
      <w:pPr>
        <w:spacing w:after="0"/>
        <w:ind w:firstLine="720"/>
        <w:rPr>
          <w:rFonts w:ascii="Times New Roman" w:hAnsi="Times New Roman"/>
          <w:sz w:val="24"/>
        </w:rPr>
      </w:pPr>
      <w:r>
        <w:rPr>
          <w:rFonts w:ascii="Times New Roman" w:hAnsi="Times New Roman"/>
          <w:sz w:val="24"/>
        </w:rPr>
        <w:t>14</w:t>
      </w:r>
      <w:r w:rsidRPr="00BB5FD2">
        <w:rPr>
          <w:rFonts w:ascii="Times New Roman" w:hAnsi="Times New Roman"/>
          <w:sz w:val="24"/>
        </w:rPr>
        <w:t>.1</w:t>
      </w:r>
      <w:r>
        <w:rPr>
          <w:rFonts w:ascii="Times New Roman" w:hAnsi="Times New Roman"/>
          <w:sz w:val="24"/>
        </w:rPr>
        <w:t>1</w:t>
      </w:r>
      <w:r w:rsidRPr="00BB5FD2">
        <w:rPr>
          <w:rFonts w:ascii="Times New Roman" w:hAnsi="Times New Roman"/>
          <w:sz w:val="24"/>
        </w:rPr>
        <w:t xml:space="preserve">.2023г.                                 </w:t>
      </w:r>
      <w:r w:rsidRPr="00BB5FD2">
        <w:rPr>
          <w:rFonts w:ascii="Times New Roman" w:hAnsi="Times New Roman"/>
          <w:sz w:val="24"/>
        </w:rPr>
        <w:tab/>
      </w:r>
      <w:r w:rsidRPr="00BB5FD2">
        <w:rPr>
          <w:rFonts w:ascii="Times New Roman" w:hAnsi="Times New Roman"/>
          <w:sz w:val="24"/>
        </w:rPr>
        <w:tab/>
        <w:t xml:space="preserve">   </w:t>
      </w:r>
      <w:proofErr w:type="spellStart"/>
      <w:proofErr w:type="gramStart"/>
      <w:r w:rsidRPr="00BB5FD2">
        <w:rPr>
          <w:rFonts w:ascii="Times New Roman" w:hAnsi="Times New Roman"/>
          <w:b/>
          <w:sz w:val="24"/>
        </w:rPr>
        <w:t>Подпис</w:t>
      </w:r>
      <w:proofErr w:type="spellEnd"/>
      <w:r w:rsidRPr="00BB5FD2">
        <w:rPr>
          <w:rFonts w:ascii="Times New Roman" w:hAnsi="Times New Roman"/>
          <w:b/>
          <w:sz w:val="24"/>
        </w:rPr>
        <w:t>:</w:t>
      </w:r>
      <w:r w:rsidRPr="00BB5FD2">
        <w:rPr>
          <w:rFonts w:ascii="Times New Roman" w:hAnsi="Times New Roman"/>
          <w:sz w:val="24"/>
        </w:rPr>
        <w:t>.....................................</w:t>
      </w:r>
      <w:proofErr w:type="gramEnd"/>
    </w:p>
    <w:p w14:paraId="4CCCF132" w14:textId="77777777" w:rsidR="00773F67" w:rsidRPr="00BB5FD2" w:rsidRDefault="00773F67" w:rsidP="00773F67">
      <w:pPr>
        <w:spacing w:after="0"/>
        <w:ind w:firstLine="720"/>
        <w:rPr>
          <w:rFonts w:ascii="Times New Roman" w:hAnsi="Times New Roman"/>
          <w:sz w:val="24"/>
        </w:rPr>
      </w:pPr>
    </w:p>
    <w:p w14:paraId="6D4DF868" w14:textId="77777777" w:rsidR="00773F67" w:rsidRPr="00BB5FD2" w:rsidRDefault="00773F67" w:rsidP="00773F67">
      <w:pPr>
        <w:spacing w:after="0"/>
        <w:ind w:firstLine="720"/>
        <w:rPr>
          <w:rFonts w:ascii="Times New Roman" w:hAnsi="Times New Roman"/>
          <w:sz w:val="24"/>
        </w:rPr>
      </w:pPr>
      <w:proofErr w:type="spellStart"/>
      <w:r w:rsidRPr="00BB5FD2">
        <w:rPr>
          <w:rFonts w:ascii="Times New Roman" w:hAnsi="Times New Roman"/>
          <w:sz w:val="24"/>
        </w:rPr>
        <w:t>гр</w:t>
      </w:r>
      <w:proofErr w:type="spellEnd"/>
      <w:r w:rsidRPr="00BB5FD2">
        <w:rPr>
          <w:rFonts w:ascii="Times New Roman" w:hAnsi="Times New Roman"/>
          <w:sz w:val="24"/>
        </w:rPr>
        <w:t xml:space="preserve">. </w:t>
      </w:r>
      <w:proofErr w:type="spellStart"/>
      <w:r w:rsidRPr="00BB5FD2">
        <w:rPr>
          <w:rFonts w:ascii="Times New Roman" w:hAnsi="Times New Roman"/>
          <w:sz w:val="24"/>
        </w:rPr>
        <w:t>Варна</w:t>
      </w:r>
      <w:proofErr w:type="spellEnd"/>
      <w:r w:rsidRPr="00BB5FD2">
        <w:rPr>
          <w:rFonts w:ascii="Times New Roman" w:hAnsi="Times New Roman"/>
          <w:sz w:val="24"/>
        </w:rPr>
        <w:tab/>
      </w:r>
      <w:r w:rsidRPr="00BB5FD2">
        <w:rPr>
          <w:rFonts w:ascii="Times New Roman" w:hAnsi="Times New Roman"/>
          <w:sz w:val="24"/>
        </w:rPr>
        <w:tab/>
      </w:r>
      <w:r w:rsidRPr="00BB5FD2">
        <w:rPr>
          <w:rFonts w:ascii="Times New Roman" w:hAnsi="Times New Roman"/>
          <w:sz w:val="24"/>
        </w:rPr>
        <w:tab/>
        <w:t xml:space="preserve">                            </w:t>
      </w:r>
      <w:proofErr w:type="spellStart"/>
      <w:r w:rsidRPr="00BB5FD2">
        <w:rPr>
          <w:rFonts w:ascii="Times New Roman" w:hAnsi="Times New Roman"/>
          <w:sz w:val="24"/>
        </w:rPr>
        <w:t>Мария</w:t>
      </w:r>
      <w:proofErr w:type="spellEnd"/>
      <w:r w:rsidRPr="00BB5FD2">
        <w:rPr>
          <w:rFonts w:ascii="Times New Roman" w:hAnsi="Times New Roman"/>
          <w:sz w:val="24"/>
        </w:rPr>
        <w:t xml:space="preserve"> </w:t>
      </w:r>
      <w:proofErr w:type="spellStart"/>
      <w:r w:rsidRPr="00BB5FD2">
        <w:rPr>
          <w:rFonts w:ascii="Times New Roman" w:hAnsi="Times New Roman"/>
          <w:sz w:val="24"/>
        </w:rPr>
        <w:t>Костадинова</w:t>
      </w:r>
      <w:proofErr w:type="spellEnd"/>
      <w:r w:rsidRPr="00BB5FD2">
        <w:rPr>
          <w:rFonts w:ascii="Times New Roman" w:hAnsi="Times New Roman"/>
          <w:sz w:val="24"/>
        </w:rPr>
        <w:t xml:space="preserve"> </w:t>
      </w:r>
      <w:proofErr w:type="spellStart"/>
      <w:r w:rsidRPr="00BB5FD2">
        <w:rPr>
          <w:rFonts w:ascii="Times New Roman" w:hAnsi="Times New Roman"/>
          <w:sz w:val="24"/>
        </w:rPr>
        <w:t>Левкова</w:t>
      </w:r>
      <w:proofErr w:type="spellEnd"/>
    </w:p>
    <w:p w14:paraId="740BD708" w14:textId="77777777" w:rsidR="00773F67" w:rsidRPr="00BC3FAB" w:rsidRDefault="00773F67" w:rsidP="00773F67">
      <w:pPr>
        <w:pStyle w:val="ListParagraph"/>
        <w:ind w:left="993"/>
        <w:jc w:val="both"/>
        <w:rPr>
          <w:rFonts w:ascii="Times New Roman" w:hAnsi="Times New Roman" w:cs="Times New Roman"/>
          <w:sz w:val="24"/>
          <w:szCs w:val="24"/>
        </w:rPr>
      </w:pPr>
    </w:p>
    <w:sectPr w:rsidR="00773F67" w:rsidRPr="00BC3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6F0"/>
    <w:multiLevelType w:val="hybridMultilevel"/>
    <w:tmpl w:val="E0A6E20E"/>
    <w:lvl w:ilvl="0" w:tplc="FFFFFFF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30871"/>
    <w:multiLevelType w:val="hybridMultilevel"/>
    <w:tmpl w:val="0FD4BB26"/>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05740"/>
    <w:multiLevelType w:val="hybridMultilevel"/>
    <w:tmpl w:val="A43AC50E"/>
    <w:lvl w:ilvl="0" w:tplc="04090001">
      <w:start w:val="1"/>
      <w:numFmt w:val="bullet"/>
      <w:lvlText w:val=""/>
      <w:lvlJc w:val="left"/>
      <w:pPr>
        <w:ind w:left="1913" w:hanging="360"/>
      </w:pPr>
      <w:rPr>
        <w:rFonts w:ascii="Symbol" w:hAnsi="Symbol" w:hint="default"/>
      </w:rPr>
    </w:lvl>
    <w:lvl w:ilvl="1" w:tplc="04090003" w:tentative="1">
      <w:start w:val="1"/>
      <w:numFmt w:val="bullet"/>
      <w:lvlText w:val="o"/>
      <w:lvlJc w:val="left"/>
      <w:pPr>
        <w:ind w:left="2633" w:hanging="360"/>
      </w:pPr>
      <w:rPr>
        <w:rFonts w:ascii="Courier New" w:hAnsi="Courier New" w:cs="Courier New" w:hint="default"/>
      </w:rPr>
    </w:lvl>
    <w:lvl w:ilvl="2" w:tplc="04090005" w:tentative="1">
      <w:start w:val="1"/>
      <w:numFmt w:val="bullet"/>
      <w:lvlText w:val=""/>
      <w:lvlJc w:val="left"/>
      <w:pPr>
        <w:ind w:left="3353" w:hanging="360"/>
      </w:pPr>
      <w:rPr>
        <w:rFonts w:ascii="Wingdings" w:hAnsi="Wingdings" w:hint="default"/>
      </w:rPr>
    </w:lvl>
    <w:lvl w:ilvl="3" w:tplc="04090001" w:tentative="1">
      <w:start w:val="1"/>
      <w:numFmt w:val="bullet"/>
      <w:lvlText w:val=""/>
      <w:lvlJc w:val="left"/>
      <w:pPr>
        <w:ind w:left="4073" w:hanging="360"/>
      </w:pPr>
      <w:rPr>
        <w:rFonts w:ascii="Symbol" w:hAnsi="Symbol" w:hint="default"/>
      </w:rPr>
    </w:lvl>
    <w:lvl w:ilvl="4" w:tplc="04090003" w:tentative="1">
      <w:start w:val="1"/>
      <w:numFmt w:val="bullet"/>
      <w:lvlText w:val="o"/>
      <w:lvlJc w:val="left"/>
      <w:pPr>
        <w:ind w:left="4793" w:hanging="360"/>
      </w:pPr>
      <w:rPr>
        <w:rFonts w:ascii="Courier New" w:hAnsi="Courier New" w:cs="Courier New" w:hint="default"/>
      </w:rPr>
    </w:lvl>
    <w:lvl w:ilvl="5" w:tplc="04090005" w:tentative="1">
      <w:start w:val="1"/>
      <w:numFmt w:val="bullet"/>
      <w:lvlText w:val=""/>
      <w:lvlJc w:val="left"/>
      <w:pPr>
        <w:ind w:left="5513" w:hanging="360"/>
      </w:pPr>
      <w:rPr>
        <w:rFonts w:ascii="Wingdings" w:hAnsi="Wingdings" w:hint="default"/>
      </w:rPr>
    </w:lvl>
    <w:lvl w:ilvl="6" w:tplc="04090001" w:tentative="1">
      <w:start w:val="1"/>
      <w:numFmt w:val="bullet"/>
      <w:lvlText w:val=""/>
      <w:lvlJc w:val="left"/>
      <w:pPr>
        <w:ind w:left="6233" w:hanging="360"/>
      </w:pPr>
      <w:rPr>
        <w:rFonts w:ascii="Symbol" w:hAnsi="Symbol" w:hint="default"/>
      </w:rPr>
    </w:lvl>
    <w:lvl w:ilvl="7" w:tplc="04090003" w:tentative="1">
      <w:start w:val="1"/>
      <w:numFmt w:val="bullet"/>
      <w:lvlText w:val="o"/>
      <w:lvlJc w:val="left"/>
      <w:pPr>
        <w:ind w:left="6953" w:hanging="360"/>
      </w:pPr>
      <w:rPr>
        <w:rFonts w:ascii="Courier New" w:hAnsi="Courier New" w:cs="Courier New" w:hint="default"/>
      </w:rPr>
    </w:lvl>
    <w:lvl w:ilvl="8" w:tplc="04090005" w:tentative="1">
      <w:start w:val="1"/>
      <w:numFmt w:val="bullet"/>
      <w:lvlText w:val=""/>
      <w:lvlJc w:val="left"/>
      <w:pPr>
        <w:ind w:left="7673" w:hanging="360"/>
      </w:pPr>
      <w:rPr>
        <w:rFonts w:ascii="Wingdings" w:hAnsi="Wingdings" w:hint="default"/>
      </w:rPr>
    </w:lvl>
  </w:abstractNum>
  <w:abstractNum w:abstractNumId="3" w15:restartNumberingAfterBreak="0">
    <w:nsid w:val="0E8951C8"/>
    <w:multiLevelType w:val="hybridMultilevel"/>
    <w:tmpl w:val="B65EA6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B15CAF"/>
    <w:multiLevelType w:val="hybridMultilevel"/>
    <w:tmpl w:val="CE50767C"/>
    <w:lvl w:ilvl="0" w:tplc="FFFFFFFF">
      <w:start w:val="1"/>
      <w:numFmt w:val="decimal"/>
      <w:lvlText w:val="%1."/>
      <w:lvlJc w:val="left"/>
      <w:pPr>
        <w:ind w:left="720" w:hanging="360"/>
      </w:pPr>
    </w:lvl>
    <w:lvl w:ilvl="1" w:tplc="04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E0289F"/>
    <w:multiLevelType w:val="hybridMultilevel"/>
    <w:tmpl w:val="6F8A607E"/>
    <w:lvl w:ilvl="0" w:tplc="FFFFFFFF">
      <w:start w:val="1"/>
      <w:numFmt w:val="decimal"/>
      <w:lvlText w:val="%1."/>
      <w:lvlJc w:val="left"/>
      <w:pPr>
        <w:ind w:left="720" w:hanging="360"/>
      </w:pPr>
      <w:rPr>
        <w:b w:val="0"/>
        <w:bCs w:val="0"/>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E129B"/>
    <w:multiLevelType w:val="hybridMultilevel"/>
    <w:tmpl w:val="DC706F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81C69"/>
    <w:multiLevelType w:val="hybridMultilevel"/>
    <w:tmpl w:val="151E8BEA"/>
    <w:lvl w:ilvl="0" w:tplc="FFFFFFFF">
      <w:start w:val="1"/>
      <w:numFmt w:val="decimal"/>
      <w:lvlText w:val="%1."/>
      <w:lvlJc w:val="left"/>
      <w:pPr>
        <w:ind w:left="720" w:hanging="360"/>
      </w:pPr>
      <w:rPr>
        <w:b w:val="0"/>
        <w:bCs w:val="0"/>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147AFB"/>
    <w:multiLevelType w:val="hybridMultilevel"/>
    <w:tmpl w:val="A9F83F48"/>
    <w:lvl w:ilvl="0" w:tplc="9116627A">
      <w:start w:val="2"/>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C2E4A"/>
    <w:multiLevelType w:val="hybridMultilevel"/>
    <w:tmpl w:val="395A9E34"/>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0F2A0B"/>
    <w:multiLevelType w:val="hybridMultilevel"/>
    <w:tmpl w:val="8F367B42"/>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794AFC"/>
    <w:multiLevelType w:val="hybridMultilevel"/>
    <w:tmpl w:val="A696671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2813C4"/>
    <w:multiLevelType w:val="hybridMultilevel"/>
    <w:tmpl w:val="9F26F6BA"/>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B34CDD"/>
    <w:multiLevelType w:val="hybridMultilevel"/>
    <w:tmpl w:val="BBFC2882"/>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D29CE"/>
    <w:multiLevelType w:val="hybridMultilevel"/>
    <w:tmpl w:val="CBEC91D8"/>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3A25BC"/>
    <w:multiLevelType w:val="hybridMultilevel"/>
    <w:tmpl w:val="25CE98CE"/>
    <w:lvl w:ilvl="0" w:tplc="FFFFFFFF">
      <w:start w:val="1"/>
      <w:numFmt w:val="decimal"/>
      <w:lvlText w:val="%1."/>
      <w:lvlJc w:val="left"/>
      <w:pPr>
        <w:ind w:left="720" w:hanging="360"/>
      </w:pPr>
      <w:rPr>
        <w:b w:val="0"/>
        <w:bCs w:val="0"/>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D3155B"/>
    <w:multiLevelType w:val="hybridMultilevel"/>
    <w:tmpl w:val="9B8A7D2E"/>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E27AA"/>
    <w:multiLevelType w:val="hybridMultilevel"/>
    <w:tmpl w:val="2A7AD67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5B10AD"/>
    <w:multiLevelType w:val="hybridMultilevel"/>
    <w:tmpl w:val="51C43AC8"/>
    <w:lvl w:ilvl="0" w:tplc="FFFFFFFF">
      <w:start w:val="1"/>
      <w:numFmt w:val="decimal"/>
      <w:lvlText w:val="%1."/>
      <w:lvlJc w:val="left"/>
      <w:pPr>
        <w:ind w:left="720" w:hanging="360"/>
      </w:pPr>
      <w:rPr>
        <w:b w:val="0"/>
        <w:bCs w:val="0"/>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173633"/>
    <w:multiLevelType w:val="hybridMultilevel"/>
    <w:tmpl w:val="1206C638"/>
    <w:lvl w:ilvl="0" w:tplc="FFFFFFFF">
      <w:start w:val="1"/>
      <w:numFmt w:val="decimal"/>
      <w:lvlText w:val="%1."/>
      <w:lvlJc w:val="left"/>
      <w:pPr>
        <w:ind w:left="720" w:hanging="360"/>
      </w:pPr>
      <w:rPr>
        <w:b w:val="0"/>
        <w:bCs w:val="0"/>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9F2E66"/>
    <w:multiLevelType w:val="hybridMultilevel"/>
    <w:tmpl w:val="50D0CCD2"/>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9D5EBA"/>
    <w:multiLevelType w:val="hybridMultilevel"/>
    <w:tmpl w:val="EEF2555E"/>
    <w:lvl w:ilvl="0" w:tplc="0402000F">
      <w:start w:val="1"/>
      <w:numFmt w:val="decimal"/>
      <w:lvlText w:val="%1."/>
      <w:lvlJc w:val="left"/>
      <w:pPr>
        <w:ind w:left="833" w:hanging="360"/>
      </w:pPr>
    </w:lvl>
    <w:lvl w:ilvl="1" w:tplc="0409000B">
      <w:start w:val="1"/>
      <w:numFmt w:val="bullet"/>
      <w:lvlText w:val=""/>
      <w:lvlJc w:val="left"/>
      <w:pPr>
        <w:ind w:left="1553" w:hanging="360"/>
      </w:pPr>
      <w:rPr>
        <w:rFonts w:ascii="Wingdings" w:hAnsi="Wingdings" w:hint="default"/>
      </w:rPr>
    </w:lvl>
    <w:lvl w:ilvl="2" w:tplc="0402001B" w:tentative="1">
      <w:start w:val="1"/>
      <w:numFmt w:val="lowerRoman"/>
      <w:lvlText w:val="%3."/>
      <w:lvlJc w:val="right"/>
      <w:pPr>
        <w:ind w:left="2273" w:hanging="180"/>
      </w:pPr>
    </w:lvl>
    <w:lvl w:ilvl="3" w:tplc="0402000F" w:tentative="1">
      <w:start w:val="1"/>
      <w:numFmt w:val="decimal"/>
      <w:lvlText w:val="%4."/>
      <w:lvlJc w:val="left"/>
      <w:pPr>
        <w:ind w:left="2993" w:hanging="360"/>
      </w:pPr>
    </w:lvl>
    <w:lvl w:ilvl="4" w:tplc="04020019" w:tentative="1">
      <w:start w:val="1"/>
      <w:numFmt w:val="lowerLetter"/>
      <w:lvlText w:val="%5."/>
      <w:lvlJc w:val="left"/>
      <w:pPr>
        <w:ind w:left="3713" w:hanging="360"/>
      </w:pPr>
    </w:lvl>
    <w:lvl w:ilvl="5" w:tplc="0402001B" w:tentative="1">
      <w:start w:val="1"/>
      <w:numFmt w:val="lowerRoman"/>
      <w:lvlText w:val="%6."/>
      <w:lvlJc w:val="right"/>
      <w:pPr>
        <w:ind w:left="4433" w:hanging="180"/>
      </w:pPr>
    </w:lvl>
    <w:lvl w:ilvl="6" w:tplc="0402000F" w:tentative="1">
      <w:start w:val="1"/>
      <w:numFmt w:val="decimal"/>
      <w:lvlText w:val="%7."/>
      <w:lvlJc w:val="left"/>
      <w:pPr>
        <w:ind w:left="5153" w:hanging="360"/>
      </w:pPr>
    </w:lvl>
    <w:lvl w:ilvl="7" w:tplc="04020019" w:tentative="1">
      <w:start w:val="1"/>
      <w:numFmt w:val="lowerLetter"/>
      <w:lvlText w:val="%8."/>
      <w:lvlJc w:val="left"/>
      <w:pPr>
        <w:ind w:left="5873" w:hanging="360"/>
      </w:pPr>
    </w:lvl>
    <w:lvl w:ilvl="8" w:tplc="0402001B" w:tentative="1">
      <w:start w:val="1"/>
      <w:numFmt w:val="lowerRoman"/>
      <w:lvlText w:val="%9."/>
      <w:lvlJc w:val="right"/>
      <w:pPr>
        <w:ind w:left="6593" w:hanging="180"/>
      </w:pPr>
    </w:lvl>
  </w:abstractNum>
  <w:abstractNum w:abstractNumId="22" w15:restartNumberingAfterBreak="0">
    <w:nsid w:val="4D364550"/>
    <w:multiLevelType w:val="hybridMultilevel"/>
    <w:tmpl w:val="A9722C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070CD6"/>
    <w:multiLevelType w:val="hybridMultilevel"/>
    <w:tmpl w:val="F6F0E21E"/>
    <w:lvl w:ilvl="0" w:tplc="2320061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B7455"/>
    <w:multiLevelType w:val="hybridMultilevel"/>
    <w:tmpl w:val="63F29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F4130"/>
    <w:multiLevelType w:val="hybridMultilevel"/>
    <w:tmpl w:val="C1AA10A0"/>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E7246C"/>
    <w:multiLevelType w:val="hybridMultilevel"/>
    <w:tmpl w:val="8D988010"/>
    <w:lvl w:ilvl="0" w:tplc="A176AB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B6B5E27"/>
    <w:multiLevelType w:val="hybridMultilevel"/>
    <w:tmpl w:val="C32C09FE"/>
    <w:lvl w:ilvl="0" w:tplc="FFFFFFFF">
      <w:start w:val="1"/>
      <w:numFmt w:val="decimal"/>
      <w:lvlText w:val="%1."/>
      <w:lvlJc w:val="left"/>
      <w:pPr>
        <w:ind w:left="720" w:hanging="360"/>
      </w:pPr>
      <w:rPr>
        <w:b w:val="0"/>
        <w:bCs w:val="0"/>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9E1DD8"/>
    <w:multiLevelType w:val="hybridMultilevel"/>
    <w:tmpl w:val="F148D7E0"/>
    <w:lvl w:ilvl="0" w:tplc="0409000F">
      <w:start w:val="1"/>
      <w:numFmt w:val="decimal"/>
      <w:lvlText w:val="%1."/>
      <w:lvlJc w:val="left"/>
      <w:pPr>
        <w:ind w:left="720" w:hanging="360"/>
      </w:pPr>
    </w:lvl>
    <w:lvl w:ilvl="1" w:tplc="04090001">
      <w:start w:val="1"/>
      <w:numFmt w:val="bullet"/>
      <w:lvlText w:val=""/>
      <w:lvlJc w:val="left"/>
      <w:pPr>
        <w:ind w:left="163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8B6021"/>
    <w:multiLevelType w:val="hybridMultilevel"/>
    <w:tmpl w:val="6A7C856A"/>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916DE9"/>
    <w:multiLevelType w:val="hybridMultilevel"/>
    <w:tmpl w:val="F8080646"/>
    <w:lvl w:ilvl="0" w:tplc="FFFFFFF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0130241">
    <w:abstractNumId w:val="6"/>
  </w:num>
  <w:num w:numId="2" w16cid:durableId="1350333855">
    <w:abstractNumId w:val="8"/>
  </w:num>
  <w:num w:numId="3" w16cid:durableId="1475217378">
    <w:abstractNumId w:val="17"/>
  </w:num>
  <w:num w:numId="4" w16cid:durableId="707485979">
    <w:abstractNumId w:val="28"/>
  </w:num>
  <w:num w:numId="5" w16cid:durableId="1537934259">
    <w:abstractNumId w:val="21"/>
  </w:num>
  <w:num w:numId="6" w16cid:durableId="999842887">
    <w:abstractNumId w:val="22"/>
  </w:num>
  <w:num w:numId="7" w16cid:durableId="2046906454">
    <w:abstractNumId w:val="13"/>
  </w:num>
  <w:num w:numId="8" w16cid:durableId="158080111">
    <w:abstractNumId w:val="12"/>
  </w:num>
  <w:num w:numId="9" w16cid:durableId="547380942">
    <w:abstractNumId w:val="23"/>
  </w:num>
  <w:num w:numId="10" w16cid:durableId="87621993">
    <w:abstractNumId w:val="5"/>
  </w:num>
  <w:num w:numId="11" w16cid:durableId="2003119790">
    <w:abstractNumId w:val="19"/>
  </w:num>
  <w:num w:numId="12" w16cid:durableId="1458908321">
    <w:abstractNumId w:val="27"/>
  </w:num>
  <w:num w:numId="13" w16cid:durableId="1791312700">
    <w:abstractNumId w:val="18"/>
  </w:num>
  <w:num w:numId="14" w16cid:durableId="1596281905">
    <w:abstractNumId w:val="15"/>
  </w:num>
  <w:num w:numId="15" w16cid:durableId="637803021">
    <w:abstractNumId w:val="7"/>
  </w:num>
  <w:num w:numId="16" w16cid:durableId="785777977">
    <w:abstractNumId w:val="29"/>
  </w:num>
  <w:num w:numId="17" w16cid:durableId="2060086792">
    <w:abstractNumId w:val="11"/>
  </w:num>
  <w:num w:numId="18" w16cid:durableId="357320080">
    <w:abstractNumId w:val="10"/>
  </w:num>
  <w:num w:numId="19" w16cid:durableId="1003170387">
    <w:abstractNumId w:val="20"/>
  </w:num>
  <w:num w:numId="20" w16cid:durableId="114830389">
    <w:abstractNumId w:val="14"/>
  </w:num>
  <w:num w:numId="21" w16cid:durableId="1636328981">
    <w:abstractNumId w:val="30"/>
  </w:num>
  <w:num w:numId="22" w16cid:durableId="52002262">
    <w:abstractNumId w:val="9"/>
  </w:num>
  <w:num w:numId="23" w16cid:durableId="2017923161">
    <w:abstractNumId w:val="16"/>
  </w:num>
  <w:num w:numId="24" w16cid:durableId="408885899">
    <w:abstractNumId w:val="25"/>
  </w:num>
  <w:num w:numId="25" w16cid:durableId="178591447">
    <w:abstractNumId w:val="1"/>
  </w:num>
  <w:num w:numId="26" w16cid:durableId="1621454078">
    <w:abstractNumId w:val="4"/>
  </w:num>
  <w:num w:numId="27" w16cid:durableId="2047607320">
    <w:abstractNumId w:val="0"/>
  </w:num>
  <w:num w:numId="28" w16cid:durableId="1059548570">
    <w:abstractNumId w:val="2"/>
  </w:num>
  <w:num w:numId="29" w16cid:durableId="2046522314">
    <w:abstractNumId w:val="26"/>
  </w:num>
  <w:num w:numId="30" w16cid:durableId="1886067640">
    <w:abstractNumId w:val="3"/>
  </w:num>
  <w:num w:numId="31" w16cid:durableId="5523537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A1"/>
    <w:rsid w:val="0003376E"/>
    <w:rsid w:val="000433C5"/>
    <w:rsid w:val="000477B4"/>
    <w:rsid w:val="0007791F"/>
    <w:rsid w:val="001003F7"/>
    <w:rsid w:val="00110F65"/>
    <w:rsid w:val="00161774"/>
    <w:rsid w:val="00162D70"/>
    <w:rsid w:val="0017064E"/>
    <w:rsid w:val="001C4C8B"/>
    <w:rsid w:val="00206173"/>
    <w:rsid w:val="0023480E"/>
    <w:rsid w:val="002667C1"/>
    <w:rsid w:val="002C759E"/>
    <w:rsid w:val="00326B8C"/>
    <w:rsid w:val="00330515"/>
    <w:rsid w:val="003F5591"/>
    <w:rsid w:val="00407E3C"/>
    <w:rsid w:val="00411322"/>
    <w:rsid w:val="00420191"/>
    <w:rsid w:val="004312A5"/>
    <w:rsid w:val="004319B7"/>
    <w:rsid w:val="00464556"/>
    <w:rsid w:val="004C4CFF"/>
    <w:rsid w:val="004C78D8"/>
    <w:rsid w:val="004D22AE"/>
    <w:rsid w:val="004E34A1"/>
    <w:rsid w:val="004E4E09"/>
    <w:rsid w:val="0050134A"/>
    <w:rsid w:val="00526C04"/>
    <w:rsid w:val="005A0B69"/>
    <w:rsid w:val="005A0CAF"/>
    <w:rsid w:val="005B6DCF"/>
    <w:rsid w:val="005C3955"/>
    <w:rsid w:val="00603D5B"/>
    <w:rsid w:val="00634142"/>
    <w:rsid w:val="0063467C"/>
    <w:rsid w:val="00653B72"/>
    <w:rsid w:val="00675A7D"/>
    <w:rsid w:val="00685495"/>
    <w:rsid w:val="00685F8E"/>
    <w:rsid w:val="006A672F"/>
    <w:rsid w:val="006B330A"/>
    <w:rsid w:val="006C00A1"/>
    <w:rsid w:val="006C4955"/>
    <w:rsid w:val="006F799C"/>
    <w:rsid w:val="00741B84"/>
    <w:rsid w:val="00763A41"/>
    <w:rsid w:val="00773F67"/>
    <w:rsid w:val="008031B4"/>
    <w:rsid w:val="008221F9"/>
    <w:rsid w:val="00837856"/>
    <w:rsid w:val="00907C89"/>
    <w:rsid w:val="00921280"/>
    <w:rsid w:val="00932D29"/>
    <w:rsid w:val="00934047"/>
    <w:rsid w:val="009421F3"/>
    <w:rsid w:val="00942864"/>
    <w:rsid w:val="00967F95"/>
    <w:rsid w:val="00976718"/>
    <w:rsid w:val="009873CA"/>
    <w:rsid w:val="009C3AAB"/>
    <w:rsid w:val="009D3700"/>
    <w:rsid w:val="009F4B89"/>
    <w:rsid w:val="00A42C03"/>
    <w:rsid w:val="00AA0C02"/>
    <w:rsid w:val="00AE515C"/>
    <w:rsid w:val="00AF791A"/>
    <w:rsid w:val="00B05959"/>
    <w:rsid w:val="00B07315"/>
    <w:rsid w:val="00B13FE2"/>
    <w:rsid w:val="00B65783"/>
    <w:rsid w:val="00B92E58"/>
    <w:rsid w:val="00BB3B5B"/>
    <w:rsid w:val="00BB574D"/>
    <w:rsid w:val="00BC3FAB"/>
    <w:rsid w:val="00BE74E0"/>
    <w:rsid w:val="00C17C17"/>
    <w:rsid w:val="00C33798"/>
    <w:rsid w:val="00C504E3"/>
    <w:rsid w:val="00C94ADE"/>
    <w:rsid w:val="00D60AB2"/>
    <w:rsid w:val="00D63F50"/>
    <w:rsid w:val="00D66BED"/>
    <w:rsid w:val="00D83CA6"/>
    <w:rsid w:val="00D9154B"/>
    <w:rsid w:val="00D96DFA"/>
    <w:rsid w:val="00DC0BF2"/>
    <w:rsid w:val="00E100ED"/>
    <w:rsid w:val="00E10B73"/>
    <w:rsid w:val="00EC502C"/>
    <w:rsid w:val="00EC52F3"/>
    <w:rsid w:val="00F20C1F"/>
    <w:rsid w:val="00F36132"/>
    <w:rsid w:val="00F55FCF"/>
    <w:rsid w:val="00F57DC8"/>
    <w:rsid w:val="00F86383"/>
    <w:rsid w:val="00F9775B"/>
    <w:rsid w:val="00FC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730D"/>
  <w15:chartTrackingRefBased/>
  <w15:docId w15:val="{1BB0A542-6656-4240-B873-08A3EC05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26B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Normal">
    <w:name w:val="CV Normal"/>
    <w:basedOn w:val="Normal"/>
    <w:rsid w:val="00D66BED"/>
    <w:pPr>
      <w:suppressAutoHyphens/>
      <w:spacing w:after="0" w:line="240" w:lineRule="auto"/>
      <w:ind w:left="113" w:right="113"/>
    </w:pPr>
    <w:rPr>
      <w:rFonts w:ascii="Arial Narrow" w:eastAsia="Times New Roman" w:hAnsi="Arial Narrow" w:cs="Times New Roman"/>
      <w:sz w:val="20"/>
      <w:szCs w:val="20"/>
      <w:lang w:val="bg-BG" w:eastAsia="ar-SA"/>
    </w:rPr>
  </w:style>
  <w:style w:type="paragraph" w:styleId="ListParagraph">
    <w:name w:val="List Paragraph"/>
    <w:basedOn w:val="Normal"/>
    <w:uiPriority w:val="34"/>
    <w:qFormat/>
    <w:rsid w:val="00D66BED"/>
    <w:pPr>
      <w:ind w:left="720"/>
      <w:contextualSpacing/>
    </w:pPr>
  </w:style>
  <w:style w:type="paragraph" w:styleId="NormalWeb">
    <w:name w:val="Normal (Web)"/>
    <w:basedOn w:val="Normal"/>
    <w:uiPriority w:val="99"/>
    <w:semiHidden/>
    <w:unhideWhenUsed/>
    <w:rsid w:val="00942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6B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0265">
      <w:bodyDiv w:val="1"/>
      <w:marLeft w:val="0"/>
      <w:marRight w:val="0"/>
      <w:marTop w:val="0"/>
      <w:marBottom w:val="0"/>
      <w:divBdr>
        <w:top w:val="none" w:sz="0" w:space="0" w:color="auto"/>
        <w:left w:val="none" w:sz="0" w:space="0" w:color="auto"/>
        <w:bottom w:val="none" w:sz="0" w:space="0" w:color="auto"/>
        <w:right w:val="none" w:sz="0" w:space="0" w:color="auto"/>
      </w:divBdr>
    </w:div>
    <w:div w:id="798110015">
      <w:bodyDiv w:val="1"/>
      <w:marLeft w:val="0"/>
      <w:marRight w:val="0"/>
      <w:marTop w:val="0"/>
      <w:marBottom w:val="0"/>
      <w:divBdr>
        <w:top w:val="none" w:sz="0" w:space="0" w:color="auto"/>
        <w:left w:val="none" w:sz="0" w:space="0" w:color="auto"/>
        <w:bottom w:val="none" w:sz="0" w:space="0" w:color="auto"/>
        <w:right w:val="none" w:sz="0" w:space="0" w:color="auto"/>
      </w:divBdr>
    </w:div>
    <w:div w:id="845444170">
      <w:bodyDiv w:val="1"/>
      <w:marLeft w:val="0"/>
      <w:marRight w:val="0"/>
      <w:marTop w:val="0"/>
      <w:marBottom w:val="0"/>
      <w:divBdr>
        <w:top w:val="none" w:sz="0" w:space="0" w:color="auto"/>
        <w:left w:val="none" w:sz="0" w:space="0" w:color="auto"/>
        <w:bottom w:val="none" w:sz="0" w:space="0" w:color="auto"/>
        <w:right w:val="none" w:sz="0" w:space="0" w:color="auto"/>
      </w:divBdr>
    </w:div>
    <w:div w:id="1688677873">
      <w:bodyDiv w:val="1"/>
      <w:marLeft w:val="0"/>
      <w:marRight w:val="0"/>
      <w:marTop w:val="0"/>
      <w:marBottom w:val="0"/>
      <w:divBdr>
        <w:top w:val="none" w:sz="0" w:space="0" w:color="auto"/>
        <w:left w:val="none" w:sz="0" w:space="0" w:color="auto"/>
        <w:bottom w:val="none" w:sz="0" w:space="0" w:color="auto"/>
        <w:right w:val="none" w:sz="0" w:space="0" w:color="auto"/>
      </w:divBdr>
    </w:div>
    <w:div w:id="1732654768">
      <w:bodyDiv w:val="1"/>
      <w:marLeft w:val="0"/>
      <w:marRight w:val="0"/>
      <w:marTop w:val="0"/>
      <w:marBottom w:val="0"/>
      <w:divBdr>
        <w:top w:val="none" w:sz="0" w:space="0" w:color="auto"/>
        <w:left w:val="none" w:sz="0" w:space="0" w:color="auto"/>
        <w:bottom w:val="none" w:sz="0" w:space="0" w:color="auto"/>
        <w:right w:val="none" w:sz="0" w:space="0" w:color="auto"/>
      </w:divBdr>
    </w:div>
    <w:div w:id="1763452102">
      <w:bodyDiv w:val="1"/>
      <w:marLeft w:val="0"/>
      <w:marRight w:val="0"/>
      <w:marTop w:val="0"/>
      <w:marBottom w:val="0"/>
      <w:divBdr>
        <w:top w:val="none" w:sz="0" w:space="0" w:color="auto"/>
        <w:left w:val="none" w:sz="0" w:space="0" w:color="auto"/>
        <w:bottom w:val="none" w:sz="0" w:space="0" w:color="auto"/>
        <w:right w:val="none" w:sz="0" w:space="0" w:color="auto"/>
      </w:divBdr>
    </w:div>
    <w:div w:id="1797523531">
      <w:bodyDiv w:val="1"/>
      <w:marLeft w:val="0"/>
      <w:marRight w:val="0"/>
      <w:marTop w:val="0"/>
      <w:marBottom w:val="0"/>
      <w:divBdr>
        <w:top w:val="none" w:sz="0" w:space="0" w:color="auto"/>
        <w:left w:val="none" w:sz="0" w:space="0" w:color="auto"/>
        <w:bottom w:val="none" w:sz="0" w:space="0" w:color="auto"/>
        <w:right w:val="none" w:sz="0" w:space="0" w:color="auto"/>
      </w:divBdr>
    </w:div>
    <w:div w:id="20790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4349</TotalTime>
  <Pages>23</Pages>
  <Words>10309</Words>
  <Characters>58767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Tsalta-Mladenov</dc:creator>
  <cp:keywords/>
  <dc:description/>
  <cp:lastModifiedBy>Mariya Levkova</cp:lastModifiedBy>
  <cp:revision>42</cp:revision>
  <dcterms:created xsi:type="dcterms:W3CDTF">2023-08-16T05:02:00Z</dcterms:created>
  <dcterms:modified xsi:type="dcterms:W3CDTF">2023-11-12T13:39:00Z</dcterms:modified>
</cp:coreProperties>
</file>